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2421" w:rsidRDefault="004E2421" w:rsidP="00157155">
      <w:pPr>
        <w:ind w:right="-160"/>
        <w:jc w:val="both"/>
        <w:rPr>
          <w:i w:val="0"/>
          <w:sz w:val="22"/>
          <w:szCs w:val="22"/>
          <w:lang w:val="es-ES_tradnl" w:eastAsia="es-ES"/>
        </w:rPr>
      </w:pPr>
      <w:bookmarkStart w:id="0" w:name="_GoBack"/>
      <w:bookmarkEnd w:id="0"/>
    </w:p>
    <w:p w:rsidR="00833EAB" w:rsidRDefault="00157155" w:rsidP="00157155">
      <w:pPr>
        <w:ind w:right="-160"/>
        <w:jc w:val="both"/>
        <w:rPr>
          <w:i w:val="0"/>
          <w:sz w:val="22"/>
          <w:szCs w:val="22"/>
          <w:lang w:val="es-ES_tradnl" w:eastAsia="es-ES"/>
        </w:rPr>
      </w:pPr>
      <w:r w:rsidRPr="002777B0">
        <w:rPr>
          <w:i w:val="0"/>
          <w:sz w:val="22"/>
          <w:szCs w:val="22"/>
          <w:lang w:val="es-ES_tradnl" w:eastAsia="es-ES"/>
        </w:rPr>
        <w:t xml:space="preserve">Esta Superintendencia con fundamento en las facultades consagradas </w:t>
      </w:r>
      <w:r w:rsidR="00FD6451">
        <w:rPr>
          <w:i w:val="0"/>
          <w:sz w:val="22"/>
          <w:szCs w:val="22"/>
          <w:lang w:val="es-ES_tradnl" w:eastAsia="es-ES"/>
        </w:rPr>
        <w:t xml:space="preserve">en </w:t>
      </w:r>
      <w:r w:rsidRPr="002777B0">
        <w:rPr>
          <w:i w:val="0"/>
          <w:sz w:val="22"/>
          <w:szCs w:val="22"/>
          <w:lang w:val="es-ES_tradnl" w:eastAsia="es-ES"/>
        </w:rPr>
        <w:t>el artículo 36 de la Ley 454 de 1998 y l</w:t>
      </w:r>
      <w:r w:rsidR="00B61612">
        <w:rPr>
          <w:i w:val="0"/>
          <w:sz w:val="22"/>
          <w:szCs w:val="22"/>
          <w:lang w:val="es-ES_tradnl" w:eastAsia="es-ES"/>
        </w:rPr>
        <w:t>o</w:t>
      </w:r>
      <w:r w:rsidRPr="002777B0">
        <w:rPr>
          <w:i w:val="0"/>
          <w:sz w:val="22"/>
          <w:szCs w:val="22"/>
          <w:lang w:val="es-ES_tradnl" w:eastAsia="es-ES"/>
        </w:rPr>
        <w:t xml:space="preserve"> señalad</w:t>
      </w:r>
      <w:r w:rsidR="00B61612">
        <w:rPr>
          <w:i w:val="0"/>
          <w:sz w:val="22"/>
          <w:szCs w:val="22"/>
          <w:lang w:val="es-ES_tradnl" w:eastAsia="es-ES"/>
        </w:rPr>
        <w:t>o</w:t>
      </w:r>
      <w:r w:rsidRPr="002777B0">
        <w:rPr>
          <w:i w:val="0"/>
          <w:sz w:val="22"/>
          <w:szCs w:val="22"/>
          <w:lang w:val="es-ES_tradnl" w:eastAsia="es-ES"/>
        </w:rPr>
        <w:t xml:space="preserve"> </w:t>
      </w:r>
      <w:r w:rsidRPr="002777B0">
        <w:rPr>
          <w:i w:val="0"/>
          <w:sz w:val="22"/>
          <w:szCs w:val="22"/>
        </w:rPr>
        <w:t xml:space="preserve">en los artículo 10, numeral 2, de la Ley 1314 de 2009, </w:t>
      </w:r>
      <w:r w:rsidRPr="002777B0">
        <w:rPr>
          <w:i w:val="0"/>
          <w:sz w:val="22"/>
          <w:szCs w:val="22"/>
          <w:lang w:val="es-ES_tradnl" w:eastAsia="es-ES"/>
        </w:rPr>
        <w:t xml:space="preserve"> </w:t>
      </w:r>
      <w:r w:rsidR="00833EAB" w:rsidRPr="002777B0">
        <w:rPr>
          <w:i w:val="0"/>
          <w:sz w:val="22"/>
          <w:szCs w:val="22"/>
          <w:lang w:val="es-ES_tradnl" w:eastAsia="es-ES"/>
        </w:rPr>
        <w:t xml:space="preserve">imparte a las entidades vigiladas </w:t>
      </w:r>
      <w:r w:rsidR="00833EAB">
        <w:rPr>
          <w:i w:val="0"/>
          <w:sz w:val="22"/>
          <w:szCs w:val="22"/>
          <w:lang w:val="es-ES_tradnl" w:eastAsia="es-ES"/>
        </w:rPr>
        <w:t xml:space="preserve">clasificadas </w:t>
      </w:r>
      <w:r w:rsidR="00833EAB" w:rsidRPr="002777B0">
        <w:rPr>
          <w:i w:val="0"/>
          <w:sz w:val="22"/>
          <w:szCs w:val="22"/>
          <w:lang w:val="es-ES_tradnl" w:eastAsia="es-ES"/>
        </w:rPr>
        <w:t xml:space="preserve">en </w:t>
      </w:r>
      <w:r w:rsidR="00833EAB">
        <w:rPr>
          <w:i w:val="0"/>
          <w:sz w:val="22"/>
          <w:szCs w:val="22"/>
          <w:lang w:val="es-ES_tradnl" w:eastAsia="es-ES"/>
        </w:rPr>
        <w:t>G</w:t>
      </w:r>
      <w:r w:rsidR="00833EAB" w:rsidRPr="002777B0">
        <w:rPr>
          <w:i w:val="0"/>
          <w:sz w:val="22"/>
          <w:szCs w:val="22"/>
          <w:lang w:val="es-ES_tradnl" w:eastAsia="es-ES"/>
        </w:rPr>
        <w:t xml:space="preserve">rupo 1, </w:t>
      </w:r>
      <w:r w:rsidR="00833EAB" w:rsidRPr="002777B0">
        <w:rPr>
          <w:i w:val="0"/>
          <w:sz w:val="22"/>
          <w:szCs w:val="22"/>
        </w:rPr>
        <w:t>las siguientes instrucciones en relación con el proceso de convergencia hacia los estándares de información financiera definidos por el Gobierno Nacional mediante los Decretos 2784 de 2012 así como las modificaciones realizadas con los Decretos 3019 y 3024</w:t>
      </w:r>
      <w:r w:rsidR="00ED351D">
        <w:rPr>
          <w:i w:val="0"/>
          <w:sz w:val="22"/>
          <w:szCs w:val="22"/>
        </w:rPr>
        <w:t xml:space="preserve"> de 2013</w:t>
      </w:r>
      <w:r w:rsidR="00833EAB" w:rsidRPr="002777B0">
        <w:rPr>
          <w:i w:val="0"/>
          <w:sz w:val="22"/>
          <w:szCs w:val="22"/>
        </w:rPr>
        <w:t>.</w:t>
      </w:r>
    </w:p>
    <w:p w:rsidR="00833EAB" w:rsidRDefault="00833EAB" w:rsidP="00157155">
      <w:pPr>
        <w:ind w:right="-160"/>
        <w:jc w:val="both"/>
        <w:rPr>
          <w:i w:val="0"/>
          <w:sz w:val="22"/>
          <w:szCs w:val="22"/>
          <w:lang w:val="es-ES_tradnl" w:eastAsia="es-ES"/>
        </w:rPr>
      </w:pPr>
    </w:p>
    <w:p w:rsidR="00157155" w:rsidRPr="00157155" w:rsidRDefault="00157155" w:rsidP="00157155">
      <w:pPr>
        <w:pStyle w:val="Textoindependiente"/>
        <w:rPr>
          <w:sz w:val="22"/>
          <w:szCs w:val="22"/>
        </w:rPr>
      </w:pPr>
      <w:r w:rsidRPr="00157155">
        <w:rPr>
          <w:sz w:val="22"/>
          <w:szCs w:val="22"/>
          <w:lang w:val="es-ES_tradnl"/>
        </w:rPr>
        <w:t>Según</w:t>
      </w:r>
      <w:r w:rsidRPr="00157155">
        <w:rPr>
          <w:sz w:val="22"/>
          <w:szCs w:val="22"/>
        </w:rPr>
        <w:t xml:space="preserve"> lo establecido en el numeral 3 del artículo 3 del </w:t>
      </w:r>
      <w:r w:rsidR="00024E4A" w:rsidRPr="00157155">
        <w:rPr>
          <w:sz w:val="22"/>
          <w:szCs w:val="22"/>
        </w:rPr>
        <w:t>Decreto 2784 de 2012</w:t>
      </w:r>
      <w:r w:rsidRPr="00157155">
        <w:rPr>
          <w:sz w:val="22"/>
          <w:szCs w:val="22"/>
        </w:rPr>
        <w:t xml:space="preserve">, el </w:t>
      </w:r>
      <w:r w:rsidR="00024E4A" w:rsidRPr="00157155">
        <w:rPr>
          <w:sz w:val="22"/>
          <w:szCs w:val="22"/>
        </w:rPr>
        <w:t xml:space="preserve">Estado de Situación Financiera de Apertura </w:t>
      </w:r>
      <w:r w:rsidR="00024E4A">
        <w:rPr>
          <w:sz w:val="22"/>
          <w:szCs w:val="22"/>
        </w:rPr>
        <w:t>(</w:t>
      </w:r>
      <w:r w:rsidRPr="00157155">
        <w:rPr>
          <w:sz w:val="22"/>
          <w:szCs w:val="22"/>
        </w:rPr>
        <w:t>ESFA</w:t>
      </w:r>
      <w:r w:rsidR="00024E4A">
        <w:rPr>
          <w:sz w:val="22"/>
          <w:szCs w:val="22"/>
        </w:rPr>
        <w:t>)</w:t>
      </w:r>
      <w:r w:rsidRPr="00157155">
        <w:rPr>
          <w:sz w:val="22"/>
          <w:szCs w:val="22"/>
        </w:rPr>
        <w:t xml:space="preserve"> será el estado financiero en el cual por primera vez se medirán de acuerdo con el nuevo </w:t>
      </w:r>
      <w:r w:rsidR="00ED351D" w:rsidRPr="002777B0">
        <w:rPr>
          <w:sz w:val="22"/>
          <w:szCs w:val="22"/>
          <w:lang w:val="es-ES"/>
        </w:rPr>
        <w:t>Marco Técnico Normativo de Información Financiera</w:t>
      </w:r>
      <w:r w:rsidR="00ED351D" w:rsidRPr="00157155">
        <w:rPr>
          <w:sz w:val="22"/>
          <w:szCs w:val="22"/>
        </w:rPr>
        <w:t xml:space="preserve"> </w:t>
      </w:r>
      <w:r w:rsidRPr="00157155">
        <w:rPr>
          <w:sz w:val="22"/>
          <w:szCs w:val="22"/>
        </w:rPr>
        <w:t xml:space="preserve">los activos, pasivos y patrimonio de las entidades que hacen parte del Grupo 1. </w:t>
      </w:r>
    </w:p>
    <w:p w:rsidR="00024E4A" w:rsidRDefault="00024E4A" w:rsidP="00157155">
      <w:pPr>
        <w:jc w:val="both"/>
        <w:rPr>
          <w:i w:val="0"/>
          <w:sz w:val="22"/>
          <w:szCs w:val="22"/>
          <w:lang w:val="es-ES"/>
        </w:rPr>
      </w:pPr>
    </w:p>
    <w:p w:rsidR="00157155" w:rsidRPr="00157155" w:rsidRDefault="00157155" w:rsidP="00157155">
      <w:pPr>
        <w:pStyle w:val="Textoindependiente"/>
        <w:rPr>
          <w:rFonts w:eastAsia="Arial"/>
          <w:kern w:val="1"/>
          <w:sz w:val="22"/>
          <w:szCs w:val="22"/>
          <w:lang w:val="es-ES"/>
        </w:rPr>
      </w:pPr>
      <w:r w:rsidRPr="00157155">
        <w:rPr>
          <w:sz w:val="22"/>
          <w:szCs w:val="22"/>
        </w:rPr>
        <w:t xml:space="preserve">Para la presentación del ESFA la Superintendencia </w:t>
      </w:r>
      <w:r w:rsidR="00024E4A">
        <w:rPr>
          <w:sz w:val="22"/>
          <w:szCs w:val="22"/>
        </w:rPr>
        <w:t xml:space="preserve">de Economía Solidaria </w:t>
      </w:r>
      <w:r w:rsidR="00C35C60">
        <w:rPr>
          <w:sz w:val="22"/>
          <w:szCs w:val="22"/>
        </w:rPr>
        <w:t xml:space="preserve">en </w:t>
      </w:r>
      <w:r w:rsidRPr="00157155">
        <w:rPr>
          <w:sz w:val="22"/>
          <w:szCs w:val="22"/>
        </w:rPr>
        <w:t>el numeral</w:t>
      </w:r>
      <w:r w:rsidR="00ED351D">
        <w:rPr>
          <w:sz w:val="22"/>
          <w:szCs w:val="22"/>
        </w:rPr>
        <w:t xml:space="preserve"> 3</w:t>
      </w:r>
      <w:r w:rsidRPr="00157155">
        <w:rPr>
          <w:sz w:val="22"/>
          <w:szCs w:val="22"/>
        </w:rPr>
        <w:t xml:space="preserve"> de la Circular Externa 0</w:t>
      </w:r>
      <w:r w:rsidR="00ED351D">
        <w:rPr>
          <w:sz w:val="22"/>
          <w:szCs w:val="22"/>
        </w:rPr>
        <w:t>0</w:t>
      </w:r>
      <w:r w:rsidRPr="00157155">
        <w:rPr>
          <w:sz w:val="22"/>
          <w:szCs w:val="22"/>
        </w:rPr>
        <w:t>3 de 201</w:t>
      </w:r>
      <w:r w:rsidR="00ED351D">
        <w:rPr>
          <w:sz w:val="22"/>
          <w:szCs w:val="22"/>
        </w:rPr>
        <w:t>4</w:t>
      </w:r>
      <w:r w:rsidRPr="00157155">
        <w:rPr>
          <w:sz w:val="22"/>
          <w:szCs w:val="22"/>
        </w:rPr>
        <w:t xml:space="preserve"> estableció que </w:t>
      </w:r>
      <w:r w:rsidRPr="00157155">
        <w:rPr>
          <w:rFonts w:eastAsia="Arial"/>
          <w:kern w:val="1"/>
          <w:sz w:val="22"/>
          <w:szCs w:val="22"/>
          <w:lang w:val="es-ES"/>
        </w:rPr>
        <w:t>los preparadores de información financiera que hacen parte del Grupo 1 deben elaborar su ESFA al 1 de enero de 2014</w:t>
      </w:r>
      <w:r w:rsidR="00ED351D">
        <w:rPr>
          <w:rFonts w:eastAsia="Arial"/>
          <w:kern w:val="1"/>
          <w:sz w:val="22"/>
          <w:szCs w:val="22"/>
          <w:lang w:val="es-ES"/>
        </w:rPr>
        <w:t xml:space="preserve"> y enviarlo al 30 de junio de 2014. </w:t>
      </w:r>
    </w:p>
    <w:p w:rsidR="00157155" w:rsidRPr="00157155" w:rsidRDefault="00157155" w:rsidP="00157155">
      <w:pPr>
        <w:pStyle w:val="Textoindependiente"/>
        <w:rPr>
          <w:rFonts w:eastAsia="Arial"/>
          <w:kern w:val="1"/>
          <w:sz w:val="22"/>
          <w:szCs w:val="22"/>
          <w:lang w:val="es-ES"/>
        </w:rPr>
      </w:pPr>
    </w:p>
    <w:p w:rsidR="00157155" w:rsidRDefault="0030054F" w:rsidP="00ED351D">
      <w:pPr>
        <w:pStyle w:val="Textoindependiente"/>
        <w:rPr>
          <w:sz w:val="22"/>
          <w:szCs w:val="22"/>
          <w:lang w:val="es-ES"/>
        </w:rPr>
      </w:pPr>
      <w:r>
        <w:rPr>
          <w:rFonts w:eastAsia="Arial"/>
          <w:kern w:val="1"/>
          <w:sz w:val="22"/>
          <w:szCs w:val="22"/>
          <w:lang w:val="es-ES"/>
        </w:rPr>
        <w:t xml:space="preserve">La Superintendencia en la revisión de los impactos en el balance apertura y el trabajo de campo realizado, pudo evidenciar atrasos en los procesos que debían realizar los </w:t>
      </w:r>
      <w:r w:rsidRPr="00157155">
        <w:rPr>
          <w:rFonts w:eastAsia="Arial"/>
          <w:kern w:val="1"/>
          <w:sz w:val="22"/>
          <w:szCs w:val="22"/>
          <w:lang w:val="es-ES"/>
        </w:rPr>
        <w:t>preparadores de información financiera que hacen parte del Grupo 1</w:t>
      </w:r>
      <w:r>
        <w:rPr>
          <w:rFonts w:eastAsia="Arial"/>
          <w:kern w:val="1"/>
          <w:sz w:val="22"/>
          <w:szCs w:val="22"/>
          <w:lang w:val="es-ES"/>
        </w:rPr>
        <w:t xml:space="preserve">, por tanto </w:t>
      </w:r>
      <w:r w:rsidR="00ED351D">
        <w:rPr>
          <w:rFonts w:eastAsia="Arial"/>
          <w:kern w:val="1"/>
          <w:sz w:val="22"/>
          <w:szCs w:val="22"/>
          <w:lang w:val="es-ES"/>
        </w:rPr>
        <w:t xml:space="preserve">modifica el plazo para </w:t>
      </w:r>
      <w:r w:rsidR="00ED351D">
        <w:rPr>
          <w:iCs w:val="0"/>
          <w:sz w:val="22"/>
          <w:szCs w:val="22"/>
          <w:lang w:val="es-ES"/>
        </w:rPr>
        <w:t xml:space="preserve">la </w:t>
      </w:r>
      <w:r w:rsidR="00157155" w:rsidRPr="00157155">
        <w:rPr>
          <w:sz w:val="22"/>
          <w:szCs w:val="22"/>
          <w:lang w:val="es-ES"/>
        </w:rPr>
        <w:t xml:space="preserve">remisión </w:t>
      </w:r>
      <w:r w:rsidR="00157155" w:rsidRPr="004E2421">
        <w:rPr>
          <w:sz w:val="22"/>
          <w:szCs w:val="22"/>
          <w:lang w:val="es-ES"/>
        </w:rPr>
        <w:t xml:space="preserve">del </w:t>
      </w:r>
      <w:r w:rsidR="00157155" w:rsidRPr="001411CC">
        <w:rPr>
          <w:sz w:val="22"/>
          <w:szCs w:val="22"/>
          <w:lang w:val="es-ES"/>
        </w:rPr>
        <w:t xml:space="preserve">ESFA </w:t>
      </w:r>
      <w:r w:rsidR="00ED351D" w:rsidRPr="001411CC">
        <w:rPr>
          <w:sz w:val="22"/>
          <w:szCs w:val="22"/>
          <w:lang w:val="es-ES"/>
        </w:rPr>
        <w:t xml:space="preserve"> individual o separado</w:t>
      </w:r>
      <w:r w:rsidR="00A25C8E" w:rsidRPr="004E2421">
        <w:rPr>
          <w:sz w:val="22"/>
          <w:szCs w:val="22"/>
          <w:lang w:val="es-ES"/>
        </w:rPr>
        <w:t xml:space="preserve"> y los consolidados </w:t>
      </w:r>
      <w:r w:rsidR="00ED351D" w:rsidRPr="004E2421">
        <w:rPr>
          <w:sz w:val="22"/>
          <w:szCs w:val="22"/>
          <w:lang w:val="es-ES"/>
        </w:rPr>
        <w:t xml:space="preserve"> hasta el día 30 de agosto de 2014</w:t>
      </w:r>
      <w:r w:rsidR="00ED351D" w:rsidRPr="001411CC">
        <w:rPr>
          <w:sz w:val="22"/>
          <w:szCs w:val="22"/>
          <w:lang w:val="es-ES"/>
        </w:rPr>
        <w:t xml:space="preserve">. </w:t>
      </w:r>
    </w:p>
    <w:p w:rsidR="004E2421" w:rsidRDefault="004E2421" w:rsidP="00ED351D">
      <w:pPr>
        <w:pStyle w:val="Textoindependiente"/>
        <w:rPr>
          <w:sz w:val="22"/>
          <w:szCs w:val="22"/>
          <w:lang w:val="es-ES"/>
        </w:rPr>
      </w:pPr>
    </w:p>
    <w:p w:rsidR="004E2421" w:rsidRDefault="004E2421" w:rsidP="00ED351D">
      <w:pPr>
        <w:pStyle w:val="Textoindependiente"/>
        <w:rPr>
          <w:sz w:val="22"/>
          <w:szCs w:val="22"/>
          <w:lang w:val="es-ES"/>
        </w:rPr>
      </w:pPr>
    </w:p>
    <w:p w:rsidR="004E2421" w:rsidRDefault="004E2421" w:rsidP="00ED351D">
      <w:pPr>
        <w:pStyle w:val="Textoindependiente"/>
        <w:rPr>
          <w:sz w:val="22"/>
          <w:szCs w:val="22"/>
          <w:lang w:val="es-ES"/>
        </w:rPr>
      </w:pPr>
    </w:p>
    <w:p w:rsidR="004E2421" w:rsidRDefault="004E2421" w:rsidP="00ED351D">
      <w:pPr>
        <w:pStyle w:val="Textoindependiente"/>
        <w:rPr>
          <w:sz w:val="22"/>
          <w:szCs w:val="22"/>
          <w:lang w:val="es-ES"/>
        </w:rPr>
      </w:pPr>
    </w:p>
    <w:p w:rsidR="004E2421" w:rsidRDefault="004E2421" w:rsidP="00ED351D">
      <w:pPr>
        <w:pStyle w:val="Textoindependiente"/>
        <w:rPr>
          <w:sz w:val="22"/>
          <w:szCs w:val="22"/>
          <w:lang w:val="es-ES"/>
        </w:rPr>
      </w:pPr>
    </w:p>
    <w:p w:rsidR="004E2421" w:rsidRDefault="004E2421" w:rsidP="00ED351D">
      <w:pPr>
        <w:pStyle w:val="Textoindependiente"/>
        <w:rPr>
          <w:sz w:val="22"/>
          <w:szCs w:val="22"/>
          <w:lang w:val="es-ES"/>
        </w:rPr>
      </w:pPr>
    </w:p>
    <w:p w:rsidR="004E2421" w:rsidRDefault="004E2421" w:rsidP="00ED351D">
      <w:pPr>
        <w:pStyle w:val="Textoindependiente"/>
        <w:rPr>
          <w:sz w:val="22"/>
          <w:szCs w:val="22"/>
          <w:lang w:val="es-ES"/>
        </w:rPr>
      </w:pPr>
    </w:p>
    <w:p w:rsidR="004E2421" w:rsidRDefault="004E2421" w:rsidP="00ED351D">
      <w:pPr>
        <w:pStyle w:val="Textoindependiente"/>
        <w:rPr>
          <w:sz w:val="22"/>
          <w:szCs w:val="22"/>
          <w:lang w:val="es-ES"/>
        </w:rPr>
      </w:pPr>
    </w:p>
    <w:p w:rsidR="004E2421" w:rsidRDefault="004E2421" w:rsidP="00ED351D">
      <w:pPr>
        <w:pStyle w:val="Textoindependiente"/>
        <w:rPr>
          <w:sz w:val="22"/>
          <w:szCs w:val="22"/>
          <w:lang w:val="es-ES"/>
        </w:rPr>
      </w:pPr>
    </w:p>
    <w:p w:rsidR="004E2421" w:rsidRPr="001411CC" w:rsidRDefault="004E2421" w:rsidP="00ED351D">
      <w:pPr>
        <w:pStyle w:val="Textoindependiente"/>
        <w:rPr>
          <w:sz w:val="22"/>
          <w:szCs w:val="22"/>
          <w:lang w:val="es-ES"/>
        </w:rPr>
      </w:pPr>
    </w:p>
    <w:p w:rsidR="00157155" w:rsidRDefault="00157155" w:rsidP="00215433">
      <w:pPr>
        <w:jc w:val="both"/>
        <w:rPr>
          <w:b/>
          <w:bCs/>
          <w:i w:val="0"/>
          <w:sz w:val="22"/>
          <w:szCs w:val="22"/>
        </w:rPr>
      </w:pPr>
      <w:r w:rsidRPr="004E2421">
        <w:rPr>
          <w:i w:val="0"/>
          <w:sz w:val="22"/>
          <w:szCs w:val="22"/>
          <w:lang w:val="es-ES"/>
        </w:rPr>
        <w:t xml:space="preserve">Los preparadores de información financiera que hacen parte del Grupo 1 </w:t>
      </w:r>
      <w:r w:rsidR="00215433" w:rsidRPr="004E2421">
        <w:rPr>
          <w:i w:val="0"/>
          <w:sz w:val="22"/>
          <w:szCs w:val="22"/>
          <w:lang w:val="es-ES"/>
        </w:rPr>
        <w:t>vigilados por</w:t>
      </w:r>
      <w:r w:rsidRPr="004E2421">
        <w:rPr>
          <w:i w:val="0"/>
          <w:sz w:val="22"/>
          <w:szCs w:val="22"/>
          <w:lang w:val="es-ES"/>
        </w:rPr>
        <w:t xml:space="preserve"> esta Superintendencia deberán presentar el ESFA haciendo</w:t>
      </w:r>
      <w:r w:rsidRPr="00157155">
        <w:rPr>
          <w:i w:val="0"/>
          <w:sz w:val="22"/>
          <w:szCs w:val="22"/>
          <w:lang w:val="es-ES"/>
        </w:rPr>
        <w:t xml:space="preserve"> uso del formato anexo a la presente Circular Externa, </w:t>
      </w:r>
      <w:r w:rsidRPr="00157155">
        <w:rPr>
          <w:i w:val="0"/>
          <w:sz w:val="22"/>
          <w:szCs w:val="22"/>
        </w:rPr>
        <w:t>con su correspondiente instructivo</w:t>
      </w:r>
      <w:r w:rsidR="00215433">
        <w:rPr>
          <w:i w:val="0"/>
          <w:sz w:val="22"/>
          <w:szCs w:val="22"/>
        </w:rPr>
        <w:t xml:space="preserve"> y deberán remitirse</w:t>
      </w:r>
      <w:r w:rsidRPr="00215433">
        <w:rPr>
          <w:i w:val="0"/>
          <w:sz w:val="22"/>
          <w:szCs w:val="22"/>
        </w:rPr>
        <w:t xml:space="preserve"> </w:t>
      </w:r>
      <w:r w:rsidRPr="00215433">
        <w:rPr>
          <w:i w:val="0"/>
          <w:sz w:val="22"/>
          <w:szCs w:val="22"/>
          <w:lang w:val="es-ES"/>
        </w:rPr>
        <w:t>a</w:t>
      </w:r>
      <w:r w:rsidR="00215433" w:rsidRPr="00215433">
        <w:rPr>
          <w:i w:val="0"/>
          <w:sz w:val="22"/>
          <w:szCs w:val="22"/>
          <w:lang w:val="es-ES"/>
        </w:rPr>
        <w:t xml:space="preserve">l correo </w:t>
      </w:r>
      <w:hyperlink r:id="rId9" w:tgtFrame="_blank" w:history="1">
        <w:r w:rsidR="00215433" w:rsidRPr="00215433">
          <w:rPr>
            <w:rStyle w:val="Hipervnculo"/>
            <w:b/>
            <w:bCs/>
            <w:i w:val="0"/>
            <w:sz w:val="22"/>
            <w:szCs w:val="22"/>
          </w:rPr>
          <w:t>reporteesfa-grupo1@supersolidaria.gov.co</w:t>
        </w:r>
      </w:hyperlink>
      <w:r w:rsidR="00215433">
        <w:rPr>
          <w:b/>
          <w:bCs/>
          <w:i w:val="0"/>
          <w:sz w:val="22"/>
          <w:szCs w:val="22"/>
        </w:rPr>
        <w:t xml:space="preserve">. </w:t>
      </w:r>
    </w:p>
    <w:p w:rsidR="00215433" w:rsidRDefault="00215433" w:rsidP="00215433">
      <w:pPr>
        <w:jc w:val="both"/>
        <w:rPr>
          <w:i w:val="0"/>
          <w:sz w:val="22"/>
          <w:szCs w:val="22"/>
        </w:rPr>
      </w:pPr>
    </w:p>
    <w:p w:rsidR="00157155" w:rsidRPr="00215433" w:rsidRDefault="00157155" w:rsidP="00157155">
      <w:pPr>
        <w:jc w:val="both"/>
        <w:rPr>
          <w:i w:val="0"/>
          <w:sz w:val="22"/>
          <w:szCs w:val="22"/>
        </w:rPr>
      </w:pPr>
      <w:r w:rsidRPr="00215433">
        <w:rPr>
          <w:i w:val="0"/>
          <w:sz w:val="22"/>
          <w:szCs w:val="22"/>
        </w:rPr>
        <w:t>Hacen parte integral de la presente Circular Externa, los formatos y el instructivo.</w:t>
      </w:r>
    </w:p>
    <w:p w:rsidR="00157155" w:rsidRPr="00215433" w:rsidRDefault="00157155" w:rsidP="00157155">
      <w:pPr>
        <w:jc w:val="both"/>
        <w:rPr>
          <w:i w:val="0"/>
          <w:sz w:val="22"/>
          <w:szCs w:val="22"/>
        </w:rPr>
      </w:pPr>
    </w:p>
    <w:p w:rsidR="0067615C" w:rsidRDefault="0067615C" w:rsidP="0067615C">
      <w:pPr>
        <w:jc w:val="both"/>
        <w:rPr>
          <w:i w:val="0"/>
          <w:sz w:val="22"/>
          <w:szCs w:val="22"/>
        </w:rPr>
      </w:pPr>
      <w:r w:rsidRPr="006A3F55">
        <w:rPr>
          <w:i w:val="0"/>
          <w:sz w:val="22"/>
          <w:szCs w:val="22"/>
        </w:rPr>
        <w:t>La presente circular rige a partir de la fecha de su publicación</w:t>
      </w:r>
      <w:r>
        <w:rPr>
          <w:i w:val="0"/>
          <w:sz w:val="22"/>
          <w:szCs w:val="22"/>
        </w:rPr>
        <w:t xml:space="preserve"> en el Diario Oficial. </w:t>
      </w:r>
      <w:r w:rsidRPr="006A3F55">
        <w:rPr>
          <w:i w:val="0"/>
          <w:sz w:val="22"/>
          <w:szCs w:val="22"/>
        </w:rPr>
        <w:t xml:space="preserve"> </w:t>
      </w:r>
    </w:p>
    <w:p w:rsidR="003041CD" w:rsidRDefault="003041CD" w:rsidP="00157155">
      <w:pPr>
        <w:jc w:val="both"/>
        <w:rPr>
          <w:i w:val="0"/>
          <w:sz w:val="22"/>
          <w:szCs w:val="22"/>
        </w:rPr>
      </w:pPr>
    </w:p>
    <w:p w:rsidR="0086173D" w:rsidRPr="00157155" w:rsidRDefault="0086173D" w:rsidP="00157155">
      <w:pPr>
        <w:jc w:val="both"/>
        <w:rPr>
          <w:i w:val="0"/>
          <w:sz w:val="22"/>
          <w:szCs w:val="22"/>
        </w:rPr>
      </w:pPr>
      <w:r w:rsidRPr="00157155">
        <w:rPr>
          <w:i w:val="0"/>
          <w:sz w:val="22"/>
          <w:szCs w:val="22"/>
        </w:rPr>
        <w:t xml:space="preserve">Cordialmente, </w:t>
      </w:r>
    </w:p>
    <w:p w:rsidR="0086173D" w:rsidRDefault="0086173D" w:rsidP="0086173D">
      <w:pPr>
        <w:jc w:val="both"/>
        <w:rPr>
          <w:i w:val="0"/>
          <w:sz w:val="22"/>
          <w:szCs w:val="22"/>
        </w:rPr>
      </w:pPr>
    </w:p>
    <w:p w:rsidR="0086173D" w:rsidRDefault="0086173D" w:rsidP="0086173D">
      <w:pPr>
        <w:jc w:val="both"/>
        <w:rPr>
          <w:i w:val="0"/>
          <w:sz w:val="22"/>
          <w:szCs w:val="22"/>
        </w:rPr>
      </w:pPr>
    </w:p>
    <w:p w:rsidR="0086173D" w:rsidRDefault="0086173D" w:rsidP="0086173D">
      <w:pPr>
        <w:jc w:val="both"/>
        <w:rPr>
          <w:i w:val="0"/>
          <w:sz w:val="22"/>
          <w:szCs w:val="22"/>
        </w:rPr>
      </w:pPr>
    </w:p>
    <w:p w:rsidR="0086173D" w:rsidRPr="00E27990" w:rsidRDefault="0086173D" w:rsidP="0086173D">
      <w:pPr>
        <w:jc w:val="both"/>
        <w:rPr>
          <w:i w:val="0"/>
          <w:sz w:val="22"/>
          <w:szCs w:val="22"/>
        </w:rPr>
      </w:pPr>
    </w:p>
    <w:p w:rsidR="0086173D" w:rsidRPr="008764AE" w:rsidRDefault="00610506" w:rsidP="0086173D">
      <w:pPr>
        <w:pStyle w:val="Ttulo5"/>
        <w:rPr>
          <w:b/>
          <w:i w:val="0"/>
          <w:sz w:val="22"/>
          <w:szCs w:val="22"/>
        </w:rPr>
      </w:pPr>
      <w:r>
        <w:rPr>
          <w:b/>
          <w:i w:val="0"/>
          <w:sz w:val="22"/>
          <w:szCs w:val="22"/>
        </w:rPr>
        <w:t>OLGA LUCÍA LONDOÑO HERRERA</w:t>
      </w:r>
    </w:p>
    <w:p w:rsidR="0086173D" w:rsidRPr="00E27990" w:rsidRDefault="0086173D" w:rsidP="0086173D">
      <w:pPr>
        <w:jc w:val="both"/>
        <w:rPr>
          <w:i w:val="0"/>
          <w:sz w:val="22"/>
        </w:rPr>
      </w:pPr>
    </w:p>
    <w:p w:rsidR="003F56C0" w:rsidRPr="00B97C96" w:rsidRDefault="003041CD" w:rsidP="002061C0">
      <w:pPr>
        <w:rPr>
          <w:i w:val="0"/>
          <w:sz w:val="14"/>
          <w:szCs w:val="14"/>
          <w:lang w:val="es-MX"/>
        </w:rPr>
      </w:pPr>
      <w:r w:rsidRPr="00B97C96">
        <w:rPr>
          <w:i w:val="0"/>
          <w:sz w:val="14"/>
          <w:szCs w:val="14"/>
          <w:lang w:val="es-MX"/>
        </w:rPr>
        <w:t xml:space="preserve">Beatriz L. </w:t>
      </w: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Default="00695094" w:rsidP="002061C0">
      <w:pPr>
        <w:rPr>
          <w:i w:val="0"/>
          <w:sz w:val="18"/>
          <w:szCs w:val="18"/>
          <w:lang w:val="es-MX"/>
        </w:rPr>
      </w:pPr>
    </w:p>
    <w:p w:rsidR="00695094" w:rsidRPr="00C675D1" w:rsidRDefault="00695094" w:rsidP="00695094">
      <w:pPr>
        <w:jc w:val="both"/>
        <w:rPr>
          <w:b/>
          <w:i w:val="0"/>
          <w:sz w:val="22"/>
          <w:szCs w:val="22"/>
        </w:rPr>
      </w:pPr>
      <w:r w:rsidRPr="00C675D1">
        <w:rPr>
          <w:b/>
          <w:i w:val="0"/>
          <w:sz w:val="22"/>
          <w:szCs w:val="22"/>
        </w:rPr>
        <w:t xml:space="preserve">INSTRUCTIVO PARA EL REPORTE DEL ESTADO DE SITUACIÓN FINANCIERA DE APERTURA (ESFA) PARA LAS ENTIDADES SUPERVISADAS QUE HACEN PARTE </w:t>
      </w:r>
      <w:r w:rsidRPr="00C675D1">
        <w:rPr>
          <w:b/>
          <w:bCs/>
          <w:i w:val="0"/>
          <w:sz w:val="22"/>
          <w:szCs w:val="22"/>
        </w:rPr>
        <w:t>DEL GRUPO 1 SEGÚN LO ESTABLECIDO EN EL ARTÍCULO 1 DEL DECRETO 2784 DE 2012.</w:t>
      </w:r>
    </w:p>
    <w:p w:rsidR="00695094" w:rsidRPr="00C675D1" w:rsidRDefault="00695094" w:rsidP="00695094">
      <w:pPr>
        <w:jc w:val="both"/>
        <w:rPr>
          <w:b/>
          <w:i w:val="0"/>
          <w:sz w:val="22"/>
          <w:szCs w:val="22"/>
        </w:rPr>
      </w:pPr>
    </w:p>
    <w:p w:rsidR="00695094" w:rsidRPr="003A412E" w:rsidRDefault="00695094" w:rsidP="00695094">
      <w:pPr>
        <w:pStyle w:val="Prrafodelista"/>
        <w:numPr>
          <w:ilvl w:val="0"/>
          <w:numId w:val="11"/>
        </w:numPr>
        <w:ind w:left="567" w:hanging="567"/>
        <w:jc w:val="both"/>
        <w:rPr>
          <w:rFonts w:ascii="Arial" w:hAnsi="Arial" w:cs="Arial"/>
          <w:b/>
          <w:sz w:val="22"/>
          <w:szCs w:val="22"/>
        </w:rPr>
      </w:pPr>
      <w:r w:rsidRPr="003A412E">
        <w:rPr>
          <w:rFonts w:ascii="Arial" w:hAnsi="Arial" w:cs="Arial"/>
          <w:b/>
          <w:sz w:val="22"/>
          <w:szCs w:val="22"/>
        </w:rPr>
        <w:t>Introducción</w:t>
      </w:r>
    </w:p>
    <w:p w:rsidR="00695094" w:rsidRPr="00C675D1" w:rsidRDefault="00695094" w:rsidP="00695094">
      <w:pPr>
        <w:jc w:val="both"/>
        <w:rPr>
          <w:i w:val="0"/>
          <w:sz w:val="22"/>
          <w:szCs w:val="22"/>
        </w:rPr>
      </w:pPr>
    </w:p>
    <w:p w:rsidR="00695094" w:rsidRPr="00C675D1" w:rsidRDefault="00695094" w:rsidP="00695094">
      <w:pPr>
        <w:jc w:val="both"/>
        <w:rPr>
          <w:i w:val="0"/>
          <w:sz w:val="22"/>
          <w:szCs w:val="22"/>
        </w:rPr>
      </w:pPr>
      <w:r w:rsidRPr="00C675D1">
        <w:rPr>
          <w:i w:val="0"/>
          <w:sz w:val="22"/>
          <w:szCs w:val="22"/>
        </w:rPr>
        <w:t xml:space="preserve">De acuerdo con lo establecido en los Decretos 2784 de 2012 y 3024 de 2013, los preparadores de información financiera que hacen parte del Grupo 1 deben elaborar un estado de situación financiera de apertura al 1º de enero de 2014, de conformidad con las directrices establecidas en la NIIF 1 – Adopción por Primera vez de las Normas Internacionales de Información Financiera-, incluida en el Marco Técnico Normativo de Información Financiera. </w:t>
      </w:r>
    </w:p>
    <w:p w:rsidR="00695094" w:rsidRPr="00C675D1" w:rsidRDefault="00695094" w:rsidP="00695094">
      <w:pPr>
        <w:jc w:val="both"/>
        <w:rPr>
          <w:i w:val="0"/>
          <w:sz w:val="22"/>
          <w:szCs w:val="22"/>
        </w:rPr>
      </w:pPr>
    </w:p>
    <w:p w:rsidR="00695094" w:rsidRPr="00C675D1" w:rsidRDefault="00695094" w:rsidP="00695094">
      <w:pPr>
        <w:jc w:val="both"/>
        <w:rPr>
          <w:i w:val="0"/>
          <w:sz w:val="22"/>
          <w:szCs w:val="22"/>
        </w:rPr>
      </w:pPr>
      <w:r w:rsidRPr="00C675D1">
        <w:rPr>
          <w:i w:val="0"/>
          <w:sz w:val="22"/>
          <w:szCs w:val="22"/>
        </w:rPr>
        <w:t xml:space="preserve">En este sentido, el presente documento busca facilitar la preparación y presentación del Estado de Situación Financiera de Apertura (ESFA), el cual deberá remitirse en las nuevas fechas establecidas en la Circular Externa que incluye este instructivo. </w:t>
      </w:r>
    </w:p>
    <w:p w:rsidR="00695094" w:rsidRPr="00C675D1" w:rsidRDefault="00695094" w:rsidP="00695094">
      <w:pPr>
        <w:jc w:val="both"/>
        <w:rPr>
          <w:i w:val="0"/>
          <w:sz w:val="22"/>
          <w:szCs w:val="22"/>
        </w:rPr>
      </w:pPr>
    </w:p>
    <w:p w:rsidR="00695094" w:rsidRPr="00C675D1" w:rsidRDefault="00695094" w:rsidP="00695094">
      <w:pPr>
        <w:pStyle w:val="Prrafodelista"/>
        <w:numPr>
          <w:ilvl w:val="0"/>
          <w:numId w:val="11"/>
        </w:numPr>
        <w:ind w:left="567" w:hanging="567"/>
        <w:jc w:val="both"/>
        <w:rPr>
          <w:rFonts w:ascii="Arial" w:hAnsi="Arial" w:cs="Arial"/>
          <w:b/>
          <w:sz w:val="22"/>
          <w:szCs w:val="22"/>
        </w:rPr>
      </w:pPr>
      <w:r w:rsidRPr="00C675D1">
        <w:rPr>
          <w:rFonts w:ascii="Arial" w:hAnsi="Arial" w:cs="Arial"/>
          <w:b/>
          <w:sz w:val="22"/>
          <w:szCs w:val="22"/>
        </w:rPr>
        <w:t>Preparación del ESFA</w:t>
      </w:r>
    </w:p>
    <w:p w:rsidR="00695094" w:rsidRPr="00C675D1" w:rsidRDefault="00695094" w:rsidP="00695094">
      <w:pPr>
        <w:pStyle w:val="Default"/>
        <w:jc w:val="both"/>
        <w:rPr>
          <w:rFonts w:ascii="Arial" w:hAnsi="Arial" w:cs="Arial"/>
          <w:b/>
          <w:color w:val="auto"/>
          <w:sz w:val="22"/>
          <w:szCs w:val="22"/>
          <w:u w:val="single"/>
        </w:rPr>
      </w:pPr>
    </w:p>
    <w:p w:rsidR="00695094" w:rsidRPr="00C675D1" w:rsidRDefault="00695094" w:rsidP="00695094">
      <w:pPr>
        <w:pStyle w:val="Default"/>
        <w:jc w:val="both"/>
        <w:rPr>
          <w:rFonts w:ascii="Arial" w:hAnsi="Arial" w:cs="Arial"/>
          <w:color w:val="auto"/>
          <w:sz w:val="22"/>
          <w:szCs w:val="22"/>
        </w:rPr>
      </w:pPr>
      <w:r w:rsidRPr="00C675D1">
        <w:rPr>
          <w:rFonts w:ascii="Arial" w:hAnsi="Arial" w:cs="Arial"/>
          <w:color w:val="auto"/>
          <w:sz w:val="22"/>
          <w:szCs w:val="22"/>
        </w:rPr>
        <w:t>Para la elaboración del ESFA los preparadores de información financiera que hacen parte del Grupo 1</w:t>
      </w:r>
      <w:r w:rsidRPr="00C675D1">
        <w:rPr>
          <w:rFonts w:ascii="Arial" w:hAnsi="Arial" w:cs="Arial"/>
          <w:sz w:val="22"/>
          <w:szCs w:val="22"/>
        </w:rPr>
        <w:t xml:space="preserve"> deben efectuar las siguientes actividades:</w:t>
      </w:r>
    </w:p>
    <w:p w:rsidR="00695094" w:rsidRPr="00C675D1" w:rsidRDefault="00695094" w:rsidP="00695094">
      <w:pPr>
        <w:pStyle w:val="Default"/>
        <w:jc w:val="both"/>
        <w:rPr>
          <w:rFonts w:ascii="Arial" w:hAnsi="Arial" w:cs="Arial"/>
          <w:color w:val="auto"/>
          <w:sz w:val="22"/>
          <w:szCs w:val="22"/>
        </w:rPr>
      </w:pPr>
    </w:p>
    <w:p w:rsidR="00695094" w:rsidRPr="00C675D1" w:rsidRDefault="00695094" w:rsidP="00695094">
      <w:pPr>
        <w:pStyle w:val="Default"/>
        <w:numPr>
          <w:ilvl w:val="0"/>
          <w:numId w:val="9"/>
        </w:numPr>
        <w:ind w:left="284" w:hanging="284"/>
        <w:jc w:val="both"/>
        <w:rPr>
          <w:rFonts w:ascii="Arial" w:hAnsi="Arial" w:cs="Arial"/>
          <w:color w:val="auto"/>
          <w:sz w:val="22"/>
          <w:szCs w:val="22"/>
        </w:rPr>
      </w:pPr>
      <w:r w:rsidRPr="00C675D1">
        <w:rPr>
          <w:rFonts w:ascii="Arial" w:hAnsi="Arial" w:cs="Arial"/>
          <w:sz w:val="22"/>
          <w:szCs w:val="22"/>
        </w:rPr>
        <w:t xml:space="preserve">Identificar </w:t>
      </w:r>
      <w:r w:rsidRPr="00C675D1">
        <w:rPr>
          <w:rFonts w:ascii="Arial" w:hAnsi="Arial" w:cs="Arial"/>
          <w:color w:val="auto"/>
          <w:sz w:val="22"/>
          <w:szCs w:val="22"/>
        </w:rPr>
        <w:t xml:space="preserve">las diferencias que existen entre los principios de contabilidad generalmente aceptados en Colombia y los principios y conceptos de las NIIF, que les sean aplicables a sus operaciones y a cada uno de </w:t>
      </w:r>
      <w:r w:rsidRPr="00C675D1">
        <w:rPr>
          <w:rFonts w:ascii="Arial" w:hAnsi="Arial" w:cs="Arial"/>
          <w:sz w:val="22"/>
          <w:szCs w:val="22"/>
        </w:rPr>
        <w:t>los elementos de sus estados financieros.</w:t>
      </w:r>
    </w:p>
    <w:p w:rsidR="00695094" w:rsidRPr="00C675D1" w:rsidRDefault="00695094" w:rsidP="00695094">
      <w:pPr>
        <w:pStyle w:val="Prrafodelista"/>
        <w:ind w:left="0"/>
        <w:rPr>
          <w:rFonts w:ascii="Arial" w:hAnsi="Arial" w:cs="Arial"/>
          <w:sz w:val="22"/>
          <w:szCs w:val="22"/>
        </w:rPr>
      </w:pPr>
    </w:p>
    <w:p w:rsidR="00695094" w:rsidRPr="00C675D1" w:rsidRDefault="00695094" w:rsidP="00695094">
      <w:pPr>
        <w:pStyle w:val="Default"/>
        <w:numPr>
          <w:ilvl w:val="0"/>
          <w:numId w:val="9"/>
        </w:numPr>
        <w:ind w:left="284" w:hanging="284"/>
        <w:jc w:val="both"/>
        <w:rPr>
          <w:rFonts w:ascii="Arial" w:hAnsi="Arial" w:cs="Arial"/>
          <w:color w:val="auto"/>
          <w:sz w:val="22"/>
          <w:szCs w:val="22"/>
        </w:rPr>
      </w:pPr>
      <w:r w:rsidRPr="00C675D1">
        <w:rPr>
          <w:rFonts w:ascii="Arial" w:hAnsi="Arial" w:cs="Arial"/>
          <w:iCs/>
          <w:color w:val="auto"/>
          <w:sz w:val="22"/>
          <w:szCs w:val="22"/>
        </w:rPr>
        <w:t>Definir y documentar las políticas contables que se aplicarán bajo las Normas Internacionales de Información Financiera - NIIF.</w:t>
      </w:r>
    </w:p>
    <w:p w:rsidR="00695094" w:rsidRPr="00C675D1" w:rsidRDefault="00695094" w:rsidP="00695094">
      <w:pPr>
        <w:pStyle w:val="Prrafodelista"/>
        <w:ind w:left="0"/>
        <w:rPr>
          <w:rFonts w:ascii="Arial" w:hAnsi="Arial" w:cs="Arial"/>
          <w:sz w:val="22"/>
          <w:szCs w:val="22"/>
        </w:rPr>
      </w:pPr>
    </w:p>
    <w:p w:rsidR="00695094" w:rsidRPr="00C675D1" w:rsidRDefault="00695094" w:rsidP="00695094">
      <w:pPr>
        <w:pStyle w:val="Default"/>
        <w:numPr>
          <w:ilvl w:val="0"/>
          <w:numId w:val="9"/>
        </w:numPr>
        <w:ind w:left="284" w:hanging="284"/>
        <w:jc w:val="both"/>
        <w:rPr>
          <w:rFonts w:ascii="Arial" w:hAnsi="Arial" w:cs="Arial"/>
          <w:sz w:val="22"/>
          <w:szCs w:val="22"/>
        </w:rPr>
      </w:pPr>
      <w:r w:rsidRPr="00C675D1">
        <w:rPr>
          <w:rFonts w:ascii="Arial" w:hAnsi="Arial" w:cs="Arial"/>
          <w:sz w:val="22"/>
          <w:szCs w:val="22"/>
        </w:rPr>
        <w:t>Identificar las excepciones que son obligatorias y definir las exenciones a las cuales se acoge, d</w:t>
      </w:r>
      <w:r w:rsidRPr="00C675D1">
        <w:rPr>
          <w:rFonts w:ascii="Arial" w:hAnsi="Arial" w:cs="Arial"/>
          <w:color w:val="auto"/>
          <w:sz w:val="22"/>
          <w:szCs w:val="22"/>
        </w:rPr>
        <w:t xml:space="preserve">e acuerdo con los requisitos de la NIIF 1. </w:t>
      </w:r>
    </w:p>
    <w:p w:rsidR="00695094" w:rsidRPr="00C675D1" w:rsidRDefault="00695094" w:rsidP="00695094">
      <w:pPr>
        <w:pStyle w:val="Prrafodelista"/>
        <w:rPr>
          <w:rFonts w:ascii="Arial" w:hAnsi="Arial" w:cs="Arial"/>
          <w:sz w:val="22"/>
          <w:szCs w:val="22"/>
        </w:rPr>
      </w:pPr>
    </w:p>
    <w:p w:rsidR="00695094" w:rsidRPr="00C675D1" w:rsidRDefault="00695094" w:rsidP="00695094">
      <w:pPr>
        <w:pStyle w:val="Default"/>
        <w:numPr>
          <w:ilvl w:val="0"/>
          <w:numId w:val="9"/>
        </w:numPr>
        <w:ind w:left="284" w:hanging="284"/>
        <w:jc w:val="both"/>
        <w:rPr>
          <w:rFonts w:ascii="Arial" w:hAnsi="Arial" w:cs="Arial"/>
          <w:sz w:val="22"/>
          <w:szCs w:val="22"/>
        </w:rPr>
      </w:pPr>
      <w:r w:rsidRPr="00C675D1">
        <w:rPr>
          <w:rFonts w:ascii="Arial" w:hAnsi="Arial" w:cs="Arial"/>
          <w:color w:val="auto"/>
          <w:sz w:val="22"/>
          <w:szCs w:val="22"/>
        </w:rPr>
        <w:t>Establecer un control adicional del detalle de los ajustes del proceso de aplicación por primera vez que generen efectos retroactivos.</w:t>
      </w:r>
    </w:p>
    <w:p w:rsidR="00695094" w:rsidRPr="00C675D1" w:rsidRDefault="00695094" w:rsidP="00695094">
      <w:pPr>
        <w:pStyle w:val="Default"/>
        <w:jc w:val="both"/>
        <w:rPr>
          <w:rFonts w:ascii="Arial" w:hAnsi="Arial" w:cs="Arial"/>
          <w:sz w:val="22"/>
          <w:szCs w:val="22"/>
        </w:rPr>
      </w:pPr>
    </w:p>
    <w:p w:rsidR="00695094" w:rsidRPr="00C675D1" w:rsidRDefault="00695094" w:rsidP="00695094">
      <w:pPr>
        <w:pStyle w:val="Default"/>
        <w:numPr>
          <w:ilvl w:val="0"/>
          <w:numId w:val="9"/>
        </w:numPr>
        <w:ind w:left="284" w:hanging="284"/>
        <w:jc w:val="both"/>
        <w:rPr>
          <w:rFonts w:ascii="Arial" w:hAnsi="Arial" w:cs="Arial"/>
          <w:sz w:val="22"/>
          <w:szCs w:val="22"/>
        </w:rPr>
      </w:pPr>
      <w:r w:rsidRPr="00C675D1">
        <w:rPr>
          <w:rFonts w:ascii="Arial" w:hAnsi="Arial" w:cs="Arial"/>
          <w:sz w:val="22"/>
          <w:szCs w:val="22"/>
        </w:rPr>
        <w:t>Realizar la depuración de la contabilidad para elaborar el Estado de Situación Financiera de Apertura (ESFA).</w:t>
      </w:r>
      <w:r w:rsidRPr="00C675D1" w:rsidDel="00B134FD">
        <w:rPr>
          <w:rFonts w:ascii="Arial" w:hAnsi="Arial" w:cs="Arial"/>
          <w:sz w:val="22"/>
          <w:szCs w:val="22"/>
        </w:rPr>
        <w:t xml:space="preserve"> </w:t>
      </w:r>
    </w:p>
    <w:p w:rsidR="00695094" w:rsidRPr="00C675D1" w:rsidRDefault="00695094" w:rsidP="00695094">
      <w:pPr>
        <w:pStyle w:val="Prrafodelista"/>
        <w:ind w:left="0"/>
        <w:rPr>
          <w:rFonts w:ascii="Arial" w:hAnsi="Arial" w:cs="Arial"/>
          <w:iCs/>
          <w:sz w:val="22"/>
          <w:szCs w:val="22"/>
        </w:rPr>
      </w:pPr>
    </w:p>
    <w:p w:rsidR="00695094" w:rsidRPr="00C675D1" w:rsidRDefault="00695094" w:rsidP="00695094">
      <w:pPr>
        <w:pStyle w:val="Default"/>
        <w:numPr>
          <w:ilvl w:val="0"/>
          <w:numId w:val="9"/>
        </w:numPr>
        <w:ind w:left="284" w:hanging="284"/>
        <w:jc w:val="both"/>
        <w:rPr>
          <w:rFonts w:ascii="Arial" w:hAnsi="Arial" w:cs="Arial"/>
          <w:color w:val="auto"/>
          <w:sz w:val="22"/>
          <w:szCs w:val="22"/>
        </w:rPr>
      </w:pPr>
      <w:r w:rsidRPr="00C675D1">
        <w:rPr>
          <w:rFonts w:ascii="Arial" w:hAnsi="Arial" w:cs="Arial"/>
          <w:iCs/>
          <w:color w:val="auto"/>
          <w:sz w:val="22"/>
          <w:szCs w:val="22"/>
        </w:rPr>
        <w:t xml:space="preserve">Preparar cada ajuste en partida doble y reconocer dicho efecto en el detalle asignado como </w:t>
      </w:r>
      <w:r w:rsidRPr="00C675D1">
        <w:rPr>
          <w:rFonts w:ascii="Arial" w:hAnsi="Arial" w:cs="Arial"/>
          <w:sz w:val="22"/>
          <w:szCs w:val="22"/>
        </w:rPr>
        <w:t>“Ganancias (pérdidas) Acumuladas</w:t>
      </w:r>
      <w:r w:rsidR="001D5D7C">
        <w:rPr>
          <w:rFonts w:ascii="Arial" w:hAnsi="Arial" w:cs="Arial"/>
          <w:sz w:val="22"/>
          <w:szCs w:val="22"/>
        </w:rPr>
        <w:t xml:space="preserve"> por convergencia a NIIF</w:t>
      </w:r>
      <w:r w:rsidRPr="00C675D1">
        <w:rPr>
          <w:rFonts w:ascii="Arial" w:hAnsi="Arial" w:cs="Arial"/>
          <w:sz w:val="22"/>
          <w:szCs w:val="22"/>
        </w:rPr>
        <w:t>”</w:t>
      </w:r>
      <w:r w:rsidRPr="00C675D1">
        <w:rPr>
          <w:rFonts w:ascii="Arial" w:hAnsi="Arial" w:cs="Arial"/>
          <w:iCs/>
          <w:color w:val="auto"/>
          <w:sz w:val="22"/>
          <w:szCs w:val="22"/>
        </w:rPr>
        <w:t>, para el efecto deberá diferenciar, de conformidad con la estructura del archivo dispuesto, el control diferenciado para cada uno de los ajustes del proceso de convergencia allí definidos</w:t>
      </w:r>
      <w:proofErr w:type="gramStart"/>
      <w:r w:rsidRPr="00C675D1">
        <w:rPr>
          <w:rFonts w:ascii="Arial" w:hAnsi="Arial" w:cs="Arial"/>
          <w:iCs/>
          <w:color w:val="auto"/>
          <w:sz w:val="22"/>
          <w:szCs w:val="22"/>
        </w:rPr>
        <w:t>..</w:t>
      </w:r>
      <w:proofErr w:type="gramEnd"/>
    </w:p>
    <w:p w:rsidR="00695094" w:rsidRPr="00C675D1" w:rsidRDefault="00695094" w:rsidP="00695094">
      <w:pPr>
        <w:pStyle w:val="Prrafodelista"/>
        <w:ind w:left="0"/>
        <w:rPr>
          <w:rFonts w:ascii="Arial" w:hAnsi="Arial" w:cs="Arial"/>
          <w:iCs/>
          <w:sz w:val="22"/>
          <w:szCs w:val="22"/>
        </w:rPr>
      </w:pPr>
    </w:p>
    <w:p w:rsidR="00695094" w:rsidRPr="00C675D1" w:rsidRDefault="00695094" w:rsidP="00695094">
      <w:pPr>
        <w:pStyle w:val="Default"/>
        <w:numPr>
          <w:ilvl w:val="0"/>
          <w:numId w:val="9"/>
        </w:numPr>
        <w:ind w:left="284" w:hanging="284"/>
        <w:jc w:val="both"/>
        <w:rPr>
          <w:rFonts w:ascii="Arial" w:hAnsi="Arial" w:cs="Arial"/>
          <w:color w:val="auto"/>
          <w:sz w:val="22"/>
          <w:szCs w:val="22"/>
        </w:rPr>
      </w:pPr>
      <w:r w:rsidRPr="00C675D1">
        <w:rPr>
          <w:rFonts w:ascii="Arial" w:hAnsi="Arial" w:cs="Arial"/>
          <w:iCs/>
          <w:color w:val="auto"/>
          <w:sz w:val="22"/>
          <w:szCs w:val="22"/>
        </w:rPr>
        <w:t>Realizar las mediciones y valoraciones de todas las partidas de sus estados financieros de acuerdo con lo establecido en las Normas Internacionales de Información Financiera y en especial en la NIIF 1.</w:t>
      </w:r>
    </w:p>
    <w:p w:rsidR="00695094" w:rsidRPr="00C675D1" w:rsidRDefault="00695094" w:rsidP="00695094">
      <w:pPr>
        <w:pStyle w:val="Default"/>
        <w:ind w:left="284"/>
        <w:jc w:val="both"/>
        <w:rPr>
          <w:rFonts w:ascii="Arial" w:hAnsi="Arial" w:cs="Arial"/>
          <w:color w:val="auto"/>
          <w:sz w:val="22"/>
          <w:szCs w:val="22"/>
        </w:rPr>
      </w:pPr>
    </w:p>
    <w:p w:rsidR="00695094" w:rsidRPr="00C675D1" w:rsidRDefault="00695094" w:rsidP="00695094">
      <w:pPr>
        <w:pStyle w:val="Default"/>
        <w:numPr>
          <w:ilvl w:val="0"/>
          <w:numId w:val="9"/>
        </w:numPr>
        <w:ind w:left="284" w:hanging="284"/>
        <w:jc w:val="both"/>
        <w:rPr>
          <w:rFonts w:ascii="Arial" w:hAnsi="Arial" w:cs="Arial"/>
          <w:iCs/>
          <w:color w:val="auto"/>
          <w:sz w:val="22"/>
          <w:szCs w:val="22"/>
        </w:rPr>
      </w:pPr>
      <w:r w:rsidRPr="00C675D1">
        <w:rPr>
          <w:rFonts w:ascii="Arial" w:hAnsi="Arial" w:cs="Arial"/>
          <w:color w:val="auto"/>
          <w:sz w:val="22"/>
          <w:szCs w:val="22"/>
        </w:rPr>
        <w:t xml:space="preserve">El ESFA debe ser remitido en </w:t>
      </w:r>
      <w:r w:rsidRPr="00C675D1">
        <w:rPr>
          <w:rFonts w:ascii="Arial" w:hAnsi="Arial" w:cs="Arial"/>
          <w:iCs/>
          <w:color w:val="auto"/>
          <w:sz w:val="22"/>
          <w:szCs w:val="22"/>
        </w:rPr>
        <w:t>formato Excel, reportando en miles de pesos y sin decimales.</w:t>
      </w:r>
    </w:p>
    <w:p w:rsidR="00695094" w:rsidRDefault="00695094" w:rsidP="00695094">
      <w:pPr>
        <w:rPr>
          <w:sz w:val="22"/>
          <w:szCs w:val="22"/>
        </w:rPr>
      </w:pPr>
    </w:p>
    <w:p w:rsidR="00695094" w:rsidRDefault="00695094" w:rsidP="00695094">
      <w:pPr>
        <w:rPr>
          <w:sz w:val="22"/>
          <w:szCs w:val="22"/>
        </w:rPr>
      </w:pPr>
    </w:p>
    <w:p w:rsidR="00695094" w:rsidRPr="00C675D1" w:rsidRDefault="00695094" w:rsidP="00695094">
      <w:pPr>
        <w:pStyle w:val="Prrafodelista"/>
        <w:numPr>
          <w:ilvl w:val="0"/>
          <w:numId w:val="11"/>
        </w:numPr>
        <w:ind w:left="567" w:hanging="567"/>
        <w:jc w:val="both"/>
        <w:rPr>
          <w:rFonts w:ascii="Arial" w:hAnsi="Arial" w:cs="Arial"/>
          <w:b/>
          <w:sz w:val="22"/>
          <w:szCs w:val="22"/>
        </w:rPr>
      </w:pPr>
      <w:r w:rsidRPr="00C675D1">
        <w:rPr>
          <w:rFonts w:ascii="Arial" w:hAnsi="Arial" w:cs="Arial"/>
          <w:b/>
          <w:sz w:val="22"/>
          <w:szCs w:val="22"/>
        </w:rPr>
        <w:t xml:space="preserve">Diligenciamiento del </w:t>
      </w:r>
      <w:r>
        <w:rPr>
          <w:rFonts w:ascii="Arial" w:hAnsi="Arial" w:cs="Arial"/>
          <w:b/>
          <w:sz w:val="22"/>
          <w:szCs w:val="22"/>
        </w:rPr>
        <w:t>E</w:t>
      </w:r>
      <w:r w:rsidRPr="00C675D1">
        <w:rPr>
          <w:rFonts w:ascii="Arial" w:hAnsi="Arial" w:cs="Arial"/>
          <w:b/>
          <w:sz w:val="22"/>
          <w:szCs w:val="22"/>
        </w:rPr>
        <w:t xml:space="preserve">stado de </w:t>
      </w:r>
      <w:r>
        <w:rPr>
          <w:rFonts w:ascii="Arial" w:hAnsi="Arial" w:cs="Arial"/>
          <w:b/>
          <w:sz w:val="22"/>
          <w:szCs w:val="22"/>
        </w:rPr>
        <w:t>S</w:t>
      </w:r>
      <w:r w:rsidRPr="00C675D1">
        <w:rPr>
          <w:rFonts w:ascii="Arial" w:hAnsi="Arial" w:cs="Arial"/>
          <w:b/>
          <w:sz w:val="22"/>
          <w:szCs w:val="22"/>
        </w:rPr>
        <w:t xml:space="preserve">ituación </w:t>
      </w:r>
      <w:r>
        <w:rPr>
          <w:rFonts w:ascii="Arial" w:hAnsi="Arial" w:cs="Arial"/>
          <w:b/>
          <w:sz w:val="22"/>
          <w:szCs w:val="22"/>
        </w:rPr>
        <w:t>F</w:t>
      </w:r>
      <w:r w:rsidRPr="00C675D1">
        <w:rPr>
          <w:rFonts w:ascii="Arial" w:hAnsi="Arial" w:cs="Arial"/>
          <w:b/>
          <w:sz w:val="22"/>
          <w:szCs w:val="22"/>
        </w:rPr>
        <w:t>inanciera de apertura (</w:t>
      </w:r>
      <w:r>
        <w:rPr>
          <w:rFonts w:ascii="Arial" w:hAnsi="Arial" w:cs="Arial"/>
          <w:b/>
          <w:sz w:val="22"/>
          <w:szCs w:val="22"/>
        </w:rPr>
        <w:t>ESFA</w:t>
      </w:r>
      <w:r w:rsidRPr="00C675D1">
        <w:rPr>
          <w:rFonts w:ascii="Arial" w:hAnsi="Arial" w:cs="Arial"/>
          <w:b/>
          <w:sz w:val="22"/>
          <w:szCs w:val="22"/>
        </w:rPr>
        <w:t xml:space="preserve">) en formato </w:t>
      </w:r>
      <w:r>
        <w:rPr>
          <w:rFonts w:ascii="Arial" w:hAnsi="Arial" w:cs="Arial"/>
          <w:b/>
          <w:sz w:val="22"/>
          <w:szCs w:val="22"/>
        </w:rPr>
        <w:t>E</w:t>
      </w:r>
      <w:r w:rsidRPr="00C675D1">
        <w:rPr>
          <w:rFonts w:ascii="Arial" w:hAnsi="Arial" w:cs="Arial"/>
          <w:b/>
          <w:sz w:val="22"/>
          <w:szCs w:val="22"/>
        </w:rPr>
        <w:t xml:space="preserve">xcel </w:t>
      </w:r>
    </w:p>
    <w:p w:rsidR="00695094" w:rsidRPr="00C675D1" w:rsidRDefault="00695094" w:rsidP="00695094">
      <w:pPr>
        <w:pStyle w:val="Default"/>
        <w:ind w:left="720"/>
        <w:jc w:val="center"/>
        <w:rPr>
          <w:rFonts w:ascii="Arial" w:hAnsi="Arial" w:cs="Arial"/>
          <w:sz w:val="22"/>
          <w:szCs w:val="22"/>
        </w:rPr>
      </w:pPr>
    </w:p>
    <w:p w:rsidR="00695094" w:rsidRPr="00C675D1" w:rsidRDefault="00695094" w:rsidP="00695094">
      <w:pPr>
        <w:jc w:val="both"/>
        <w:rPr>
          <w:i w:val="0"/>
          <w:sz w:val="22"/>
          <w:szCs w:val="22"/>
        </w:rPr>
      </w:pPr>
      <w:r w:rsidRPr="00C675D1">
        <w:rPr>
          <w:i w:val="0"/>
          <w:sz w:val="22"/>
          <w:szCs w:val="22"/>
        </w:rPr>
        <w:t xml:space="preserve">El archivo en Excel del ESFA está compuesto de </w:t>
      </w:r>
      <w:r>
        <w:rPr>
          <w:i w:val="0"/>
          <w:sz w:val="22"/>
          <w:szCs w:val="22"/>
        </w:rPr>
        <w:t>CINCO</w:t>
      </w:r>
      <w:r w:rsidRPr="00C675D1">
        <w:rPr>
          <w:i w:val="0"/>
          <w:sz w:val="22"/>
          <w:szCs w:val="22"/>
        </w:rPr>
        <w:t xml:space="preserve"> (</w:t>
      </w:r>
      <w:r>
        <w:rPr>
          <w:i w:val="0"/>
          <w:sz w:val="22"/>
          <w:szCs w:val="22"/>
        </w:rPr>
        <w:t>5</w:t>
      </w:r>
      <w:r w:rsidRPr="00C675D1">
        <w:rPr>
          <w:i w:val="0"/>
          <w:sz w:val="22"/>
          <w:szCs w:val="22"/>
        </w:rPr>
        <w:t>) hojas, las cuales se nombran a continuación:</w:t>
      </w:r>
    </w:p>
    <w:p w:rsidR="00695094" w:rsidRPr="00C675D1" w:rsidRDefault="00695094" w:rsidP="00695094">
      <w:pPr>
        <w:jc w:val="both"/>
        <w:rPr>
          <w:i w:val="0"/>
          <w:sz w:val="22"/>
          <w:szCs w:val="22"/>
        </w:rPr>
      </w:pPr>
    </w:p>
    <w:p w:rsidR="00695094" w:rsidRPr="00C675D1" w:rsidRDefault="00695094" w:rsidP="00695094">
      <w:pPr>
        <w:numPr>
          <w:ilvl w:val="0"/>
          <w:numId w:val="3"/>
        </w:numPr>
        <w:suppressAutoHyphens w:val="0"/>
        <w:jc w:val="both"/>
        <w:rPr>
          <w:b/>
          <w:i w:val="0"/>
          <w:sz w:val="22"/>
          <w:szCs w:val="22"/>
        </w:rPr>
      </w:pPr>
      <w:r>
        <w:rPr>
          <w:b/>
          <w:i w:val="0"/>
          <w:sz w:val="22"/>
          <w:szCs w:val="22"/>
        </w:rPr>
        <w:t>DATOS BASICOS</w:t>
      </w:r>
    </w:p>
    <w:p w:rsidR="00695094" w:rsidRPr="00C675D1" w:rsidRDefault="00695094" w:rsidP="00695094">
      <w:pPr>
        <w:numPr>
          <w:ilvl w:val="0"/>
          <w:numId w:val="3"/>
        </w:numPr>
        <w:suppressAutoHyphens w:val="0"/>
        <w:jc w:val="both"/>
        <w:rPr>
          <w:b/>
          <w:i w:val="0"/>
          <w:sz w:val="22"/>
          <w:szCs w:val="22"/>
        </w:rPr>
      </w:pPr>
      <w:r w:rsidRPr="00C675D1">
        <w:rPr>
          <w:b/>
          <w:i w:val="0"/>
          <w:sz w:val="22"/>
          <w:szCs w:val="22"/>
        </w:rPr>
        <w:t>HOJA DE TRABAJO</w:t>
      </w:r>
    </w:p>
    <w:p w:rsidR="00695094" w:rsidRPr="00C675D1" w:rsidRDefault="00695094" w:rsidP="00695094">
      <w:pPr>
        <w:numPr>
          <w:ilvl w:val="0"/>
          <w:numId w:val="3"/>
        </w:numPr>
        <w:suppressAutoHyphens w:val="0"/>
        <w:jc w:val="both"/>
        <w:rPr>
          <w:b/>
          <w:i w:val="0"/>
          <w:sz w:val="22"/>
          <w:szCs w:val="22"/>
        </w:rPr>
      </w:pPr>
      <w:r w:rsidRPr="00C675D1">
        <w:rPr>
          <w:b/>
          <w:i w:val="0"/>
          <w:sz w:val="22"/>
          <w:szCs w:val="22"/>
        </w:rPr>
        <w:t>ESTADO SITUACIÓN FINANCIERA DE APERTURA ESFA</w:t>
      </w:r>
    </w:p>
    <w:p w:rsidR="00695094" w:rsidRPr="00C675D1" w:rsidRDefault="00695094" w:rsidP="00695094">
      <w:pPr>
        <w:numPr>
          <w:ilvl w:val="0"/>
          <w:numId w:val="3"/>
        </w:numPr>
        <w:suppressAutoHyphens w:val="0"/>
        <w:jc w:val="both"/>
        <w:rPr>
          <w:b/>
          <w:i w:val="0"/>
          <w:sz w:val="22"/>
          <w:szCs w:val="22"/>
        </w:rPr>
      </w:pPr>
      <w:r w:rsidRPr="00C675D1">
        <w:rPr>
          <w:b/>
          <w:i w:val="0"/>
          <w:sz w:val="22"/>
          <w:szCs w:val="22"/>
        </w:rPr>
        <w:t>CONCILIACIÓN PATRIMONIAL</w:t>
      </w:r>
    </w:p>
    <w:p w:rsidR="00695094" w:rsidRDefault="00695094" w:rsidP="00695094">
      <w:pPr>
        <w:numPr>
          <w:ilvl w:val="0"/>
          <w:numId w:val="3"/>
        </w:numPr>
        <w:suppressAutoHyphens w:val="0"/>
        <w:jc w:val="both"/>
        <w:rPr>
          <w:b/>
          <w:i w:val="0"/>
          <w:sz w:val="22"/>
          <w:szCs w:val="22"/>
        </w:rPr>
      </w:pPr>
      <w:r w:rsidRPr="00C675D1">
        <w:rPr>
          <w:b/>
          <w:i w:val="0"/>
          <w:sz w:val="22"/>
          <w:szCs w:val="22"/>
        </w:rPr>
        <w:t>NOTAS DE REVELACIÓN DE INFORMACIÓN FINANCIERA</w:t>
      </w:r>
    </w:p>
    <w:p w:rsidR="00695094" w:rsidRDefault="00695094" w:rsidP="00695094">
      <w:pPr>
        <w:suppressAutoHyphens w:val="0"/>
        <w:jc w:val="both"/>
        <w:rPr>
          <w:b/>
          <w:i w:val="0"/>
          <w:sz w:val="22"/>
          <w:szCs w:val="22"/>
        </w:rPr>
      </w:pPr>
    </w:p>
    <w:p w:rsidR="00695094" w:rsidRPr="008704CD" w:rsidRDefault="00695094" w:rsidP="00695094">
      <w:pPr>
        <w:suppressAutoHyphens w:val="0"/>
        <w:jc w:val="both"/>
        <w:rPr>
          <w:i w:val="0"/>
          <w:sz w:val="22"/>
          <w:szCs w:val="22"/>
        </w:rPr>
      </w:pPr>
      <w:r w:rsidRPr="008704CD">
        <w:rPr>
          <w:i w:val="0"/>
          <w:sz w:val="22"/>
          <w:szCs w:val="22"/>
        </w:rPr>
        <w:t xml:space="preserve">Para el caso de las Cooperativas de ahorro y crédito y </w:t>
      </w:r>
      <w:proofErr w:type="spellStart"/>
      <w:r>
        <w:rPr>
          <w:i w:val="0"/>
          <w:sz w:val="22"/>
          <w:szCs w:val="22"/>
        </w:rPr>
        <w:t>M</w:t>
      </w:r>
      <w:r w:rsidRPr="008704CD">
        <w:rPr>
          <w:i w:val="0"/>
          <w:sz w:val="22"/>
          <w:szCs w:val="22"/>
        </w:rPr>
        <w:t>ultiactivas</w:t>
      </w:r>
      <w:proofErr w:type="spellEnd"/>
      <w:r w:rsidRPr="008704CD">
        <w:rPr>
          <w:i w:val="0"/>
          <w:sz w:val="22"/>
          <w:szCs w:val="22"/>
        </w:rPr>
        <w:t xml:space="preserve"> con sección de ahorro y crédito, se deberá diligenciar adicionalmente la hoja </w:t>
      </w:r>
      <w:r w:rsidRPr="000C5947">
        <w:rPr>
          <w:b/>
          <w:i w:val="0"/>
          <w:sz w:val="22"/>
          <w:szCs w:val="22"/>
        </w:rPr>
        <w:t>6. RELACION DE SOLVENCIA.</w:t>
      </w:r>
    </w:p>
    <w:p w:rsidR="00695094" w:rsidRPr="00C675D1" w:rsidRDefault="00695094" w:rsidP="00695094">
      <w:pPr>
        <w:ind w:left="360"/>
        <w:jc w:val="both"/>
        <w:rPr>
          <w:i w:val="0"/>
          <w:sz w:val="22"/>
          <w:szCs w:val="22"/>
        </w:rPr>
      </w:pPr>
      <w:r w:rsidRPr="00C675D1">
        <w:rPr>
          <w:b/>
          <w:i w:val="0"/>
          <w:sz w:val="22"/>
          <w:szCs w:val="22"/>
        </w:rPr>
        <w:t xml:space="preserve"> </w:t>
      </w:r>
    </w:p>
    <w:p w:rsidR="00695094" w:rsidRPr="00C675D1" w:rsidRDefault="00695094" w:rsidP="00695094">
      <w:pPr>
        <w:pStyle w:val="Prrafodelista"/>
        <w:ind w:left="0"/>
        <w:jc w:val="both"/>
        <w:rPr>
          <w:rFonts w:ascii="Arial" w:hAnsi="Arial" w:cs="Arial"/>
          <w:sz w:val="22"/>
          <w:szCs w:val="22"/>
        </w:rPr>
      </w:pPr>
      <w:r w:rsidRPr="00C675D1">
        <w:rPr>
          <w:rFonts w:ascii="Arial" w:hAnsi="Arial" w:cs="Arial"/>
          <w:sz w:val="22"/>
          <w:szCs w:val="22"/>
        </w:rPr>
        <w:t>Se deberá tener en cuenta en el diligenciamiento de las diferentes columnas y filas que contiene la matriz, que las celdas que se encuentran formuladas, no deben ser modificadas por ninguna razón, para no alterar la información contenida en las diferentes hojas.</w:t>
      </w:r>
    </w:p>
    <w:p w:rsidR="00695094" w:rsidRPr="00C675D1" w:rsidRDefault="00695094" w:rsidP="00695094">
      <w:pPr>
        <w:pStyle w:val="Prrafodelista"/>
        <w:ind w:left="0"/>
        <w:jc w:val="both"/>
        <w:rPr>
          <w:rFonts w:ascii="Arial" w:hAnsi="Arial" w:cs="Arial"/>
          <w:b/>
          <w:sz w:val="22"/>
          <w:szCs w:val="22"/>
        </w:rPr>
      </w:pPr>
    </w:p>
    <w:p w:rsidR="00695094" w:rsidRPr="00C675D1" w:rsidRDefault="00695094" w:rsidP="00695094">
      <w:pPr>
        <w:jc w:val="both"/>
        <w:rPr>
          <w:b/>
          <w:i w:val="0"/>
          <w:sz w:val="22"/>
          <w:szCs w:val="22"/>
        </w:rPr>
      </w:pPr>
      <w:r w:rsidRPr="00C675D1">
        <w:rPr>
          <w:i w:val="0"/>
          <w:sz w:val="22"/>
          <w:szCs w:val="22"/>
        </w:rPr>
        <w:t>A continuación se presenta por cada hoja la forma como deberá ser diligenciada:</w:t>
      </w:r>
    </w:p>
    <w:p w:rsidR="00695094" w:rsidRPr="00C675D1" w:rsidRDefault="00695094" w:rsidP="00695094">
      <w:pPr>
        <w:jc w:val="both"/>
        <w:rPr>
          <w:b/>
          <w:i w:val="0"/>
          <w:sz w:val="22"/>
          <w:szCs w:val="22"/>
        </w:rPr>
      </w:pPr>
    </w:p>
    <w:p w:rsidR="00695094" w:rsidRPr="00ED578E" w:rsidRDefault="00695094" w:rsidP="00695094">
      <w:pPr>
        <w:pStyle w:val="Prrafodelista"/>
        <w:numPr>
          <w:ilvl w:val="0"/>
          <w:numId w:val="12"/>
        </w:numPr>
        <w:ind w:left="284" w:hanging="284"/>
        <w:jc w:val="both"/>
        <w:rPr>
          <w:rFonts w:ascii="Arial" w:hAnsi="Arial" w:cs="Arial"/>
          <w:b/>
          <w:sz w:val="22"/>
          <w:szCs w:val="22"/>
        </w:rPr>
      </w:pPr>
      <w:r w:rsidRPr="00ED578E">
        <w:rPr>
          <w:rFonts w:ascii="Arial" w:hAnsi="Arial" w:cs="Arial"/>
          <w:b/>
          <w:sz w:val="22"/>
          <w:szCs w:val="22"/>
        </w:rPr>
        <w:t>Datos básicos</w:t>
      </w:r>
    </w:p>
    <w:p w:rsidR="00695094" w:rsidRDefault="00695094" w:rsidP="00695094">
      <w:pPr>
        <w:jc w:val="both"/>
        <w:rPr>
          <w:sz w:val="22"/>
          <w:szCs w:val="22"/>
        </w:rPr>
      </w:pPr>
    </w:p>
    <w:p w:rsidR="00695094" w:rsidRDefault="00695094" w:rsidP="00695094">
      <w:pPr>
        <w:jc w:val="both"/>
        <w:rPr>
          <w:i w:val="0"/>
          <w:sz w:val="22"/>
          <w:szCs w:val="22"/>
        </w:rPr>
      </w:pPr>
      <w:r w:rsidRPr="000C5947">
        <w:rPr>
          <w:i w:val="0"/>
          <w:sz w:val="22"/>
          <w:szCs w:val="22"/>
        </w:rPr>
        <w:t xml:space="preserve">En esta hoja se presenta la información básica de la </w:t>
      </w:r>
      <w:r>
        <w:rPr>
          <w:i w:val="0"/>
          <w:sz w:val="22"/>
          <w:szCs w:val="22"/>
        </w:rPr>
        <w:t>organización solidaria</w:t>
      </w:r>
      <w:r w:rsidRPr="000C5947">
        <w:rPr>
          <w:i w:val="0"/>
          <w:sz w:val="22"/>
          <w:szCs w:val="22"/>
        </w:rPr>
        <w:t xml:space="preserve">. Es necesario que se diligencien en su totalidad todas las celdas requeridas; si algún concepto no aplica, se debe digitar en la fila o celda correspondiente las palabras “NA”. </w:t>
      </w:r>
    </w:p>
    <w:p w:rsidR="00695094" w:rsidRDefault="00695094" w:rsidP="00695094">
      <w:pPr>
        <w:jc w:val="both"/>
        <w:rPr>
          <w:i w:val="0"/>
          <w:sz w:val="22"/>
          <w:szCs w:val="22"/>
        </w:rPr>
      </w:pPr>
    </w:p>
    <w:p w:rsidR="00695094" w:rsidRPr="000C5947" w:rsidRDefault="00695094" w:rsidP="00695094">
      <w:pPr>
        <w:jc w:val="both"/>
        <w:rPr>
          <w:b/>
          <w:i w:val="0"/>
          <w:sz w:val="22"/>
          <w:szCs w:val="22"/>
        </w:rPr>
      </w:pPr>
      <w:r w:rsidRPr="000C5947">
        <w:rPr>
          <w:i w:val="0"/>
          <w:sz w:val="22"/>
          <w:szCs w:val="22"/>
        </w:rPr>
        <w:t>Los siguientes son los datos que deberán incluirse en esta hoja:</w:t>
      </w:r>
    </w:p>
    <w:p w:rsidR="00695094" w:rsidRPr="00C675D1" w:rsidRDefault="00695094" w:rsidP="00695094">
      <w:pPr>
        <w:jc w:val="both"/>
        <w:rPr>
          <w:b/>
          <w:i w:val="0"/>
          <w:sz w:val="22"/>
          <w:szCs w:val="22"/>
        </w:rPr>
      </w:pPr>
    </w:p>
    <w:p w:rsidR="00695094" w:rsidRPr="00C675D1" w:rsidRDefault="00695094" w:rsidP="00695094">
      <w:pPr>
        <w:numPr>
          <w:ilvl w:val="0"/>
          <w:numId w:val="10"/>
        </w:numPr>
        <w:suppressAutoHyphens w:val="0"/>
        <w:jc w:val="both"/>
        <w:rPr>
          <w:i w:val="0"/>
          <w:sz w:val="22"/>
          <w:szCs w:val="22"/>
        </w:rPr>
      </w:pPr>
      <w:r w:rsidRPr="003E67EA">
        <w:rPr>
          <w:b/>
          <w:i w:val="0"/>
          <w:sz w:val="22"/>
          <w:szCs w:val="22"/>
        </w:rPr>
        <w:t xml:space="preserve">Código </w:t>
      </w:r>
      <w:proofErr w:type="spellStart"/>
      <w:proofErr w:type="gramStart"/>
      <w:r w:rsidRPr="003E67EA">
        <w:rPr>
          <w:b/>
          <w:i w:val="0"/>
          <w:sz w:val="22"/>
          <w:szCs w:val="22"/>
        </w:rPr>
        <w:t>Sigcoop</w:t>
      </w:r>
      <w:proofErr w:type="spellEnd"/>
      <w:r>
        <w:rPr>
          <w:b/>
          <w:i w:val="0"/>
          <w:sz w:val="22"/>
          <w:szCs w:val="22"/>
        </w:rPr>
        <w:t xml:space="preserve"> :</w:t>
      </w:r>
      <w:proofErr w:type="gramEnd"/>
      <w:r>
        <w:rPr>
          <w:b/>
          <w:i w:val="0"/>
          <w:sz w:val="22"/>
          <w:szCs w:val="22"/>
        </w:rPr>
        <w:t xml:space="preserve"> </w:t>
      </w:r>
      <w:r>
        <w:rPr>
          <w:i w:val="0"/>
          <w:sz w:val="22"/>
          <w:szCs w:val="22"/>
        </w:rPr>
        <w:t xml:space="preserve">Corresponde al número de identificación para el reporte de la información financiera. </w:t>
      </w:r>
    </w:p>
    <w:p w:rsidR="00695094" w:rsidRDefault="00695094" w:rsidP="00695094">
      <w:pPr>
        <w:numPr>
          <w:ilvl w:val="0"/>
          <w:numId w:val="10"/>
        </w:numPr>
        <w:suppressAutoHyphens w:val="0"/>
        <w:jc w:val="both"/>
        <w:rPr>
          <w:b/>
          <w:i w:val="0"/>
          <w:sz w:val="22"/>
          <w:szCs w:val="22"/>
        </w:rPr>
      </w:pPr>
      <w:r w:rsidRPr="003E67EA">
        <w:rPr>
          <w:b/>
          <w:i w:val="0"/>
          <w:sz w:val="22"/>
          <w:szCs w:val="22"/>
        </w:rPr>
        <w:t>Nombre y Sigla de la organización solidaria</w:t>
      </w:r>
      <w:r>
        <w:rPr>
          <w:b/>
          <w:i w:val="0"/>
          <w:sz w:val="22"/>
          <w:szCs w:val="22"/>
        </w:rPr>
        <w:t xml:space="preserve">: </w:t>
      </w:r>
      <w:r w:rsidRPr="00CC2618">
        <w:rPr>
          <w:i w:val="0"/>
          <w:sz w:val="22"/>
          <w:szCs w:val="22"/>
        </w:rPr>
        <w:t xml:space="preserve">Se debe ingresar el nombre completo de la organización solidaria y su sigla. </w:t>
      </w:r>
    </w:p>
    <w:p w:rsidR="00695094" w:rsidRPr="00CC2618" w:rsidRDefault="00695094" w:rsidP="00695094">
      <w:pPr>
        <w:numPr>
          <w:ilvl w:val="0"/>
          <w:numId w:val="10"/>
        </w:numPr>
        <w:suppressAutoHyphens w:val="0"/>
        <w:jc w:val="both"/>
        <w:rPr>
          <w:b/>
          <w:i w:val="0"/>
          <w:sz w:val="22"/>
          <w:szCs w:val="22"/>
        </w:rPr>
      </w:pPr>
      <w:r w:rsidRPr="00CC2618">
        <w:rPr>
          <w:b/>
          <w:i w:val="0"/>
          <w:sz w:val="22"/>
          <w:szCs w:val="22"/>
        </w:rPr>
        <w:t xml:space="preserve">NIT: </w:t>
      </w:r>
      <w:r w:rsidRPr="00CC2618">
        <w:rPr>
          <w:i w:val="0"/>
          <w:sz w:val="22"/>
          <w:szCs w:val="22"/>
        </w:rPr>
        <w:t>Corresponde a los nueve (9) dígitos que conforman el número de identificación tributaria, es decir, sin incluir el de verificación</w:t>
      </w:r>
      <w:r w:rsidRPr="00CC2618">
        <w:rPr>
          <w:b/>
          <w:i w:val="0"/>
          <w:sz w:val="22"/>
          <w:szCs w:val="22"/>
        </w:rPr>
        <w:t xml:space="preserve">. </w:t>
      </w:r>
    </w:p>
    <w:p w:rsidR="00695094" w:rsidRPr="00E51F0E" w:rsidRDefault="00695094" w:rsidP="00695094">
      <w:pPr>
        <w:numPr>
          <w:ilvl w:val="0"/>
          <w:numId w:val="10"/>
        </w:numPr>
        <w:suppressAutoHyphens w:val="0"/>
        <w:jc w:val="both"/>
        <w:rPr>
          <w:b/>
          <w:i w:val="0"/>
          <w:sz w:val="22"/>
          <w:szCs w:val="22"/>
        </w:rPr>
      </w:pPr>
      <w:r w:rsidRPr="00CC2618">
        <w:rPr>
          <w:b/>
          <w:i w:val="0"/>
          <w:sz w:val="22"/>
          <w:szCs w:val="22"/>
        </w:rPr>
        <w:t>Tipo de organización</w:t>
      </w:r>
      <w:r>
        <w:rPr>
          <w:b/>
          <w:i w:val="0"/>
          <w:sz w:val="22"/>
          <w:szCs w:val="22"/>
        </w:rPr>
        <w:t xml:space="preserve">: </w:t>
      </w:r>
      <w:r w:rsidRPr="000E77F5">
        <w:rPr>
          <w:i w:val="0"/>
          <w:sz w:val="22"/>
          <w:szCs w:val="22"/>
        </w:rPr>
        <w:t>Seleccione el tipo de entidad de la lista desplegable</w:t>
      </w:r>
      <w:r>
        <w:rPr>
          <w:i w:val="0"/>
          <w:sz w:val="22"/>
          <w:szCs w:val="22"/>
        </w:rPr>
        <w:t xml:space="preserve">: a) Cooperativas de ahorro y crédito; b) Cooperativa </w:t>
      </w:r>
      <w:proofErr w:type="spellStart"/>
      <w:r>
        <w:rPr>
          <w:i w:val="0"/>
          <w:sz w:val="22"/>
          <w:szCs w:val="22"/>
        </w:rPr>
        <w:t>Multiactiva</w:t>
      </w:r>
      <w:proofErr w:type="spellEnd"/>
      <w:r>
        <w:rPr>
          <w:i w:val="0"/>
          <w:sz w:val="22"/>
          <w:szCs w:val="22"/>
        </w:rPr>
        <w:t xml:space="preserve"> con sección de ahorro y Crédito; c) Cooperativa especializada sin sección de ahorro y crédito; d) Cooperativa </w:t>
      </w:r>
      <w:proofErr w:type="spellStart"/>
      <w:r>
        <w:rPr>
          <w:i w:val="0"/>
          <w:sz w:val="22"/>
          <w:szCs w:val="22"/>
        </w:rPr>
        <w:t>multiactiva</w:t>
      </w:r>
      <w:proofErr w:type="spellEnd"/>
      <w:r>
        <w:rPr>
          <w:i w:val="0"/>
          <w:sz w:val="22"/>
          <w:szCs w:val="22"/>
        </w:rPr>
        <w:t xml:space="preserve"> sin sección de ahorro y crédito; e) Fondo de empleados; f) Asociación Mutual; g) Institución Auxiliar; h) Organismo de representación; i) Cooperativa de trabajo asociado o j) Otras figuras solidarias.</w:t>
      </w:r>
    </w:p>
    <w:p w:rsidR="00695094" w:rsidRDefault="00695094" w:rsidP="00695094">
      <w:pPr>
        <w:numPr>
          <w:ilvl w:val="0"/>
          <w:numId w:val="10"/>
        </w:numPr>
        <w:suppressAutoHyphens w:val="0"/>
        <w:jc w:val="both"/>
        <w:rPr>
          <w:b/>
          <w:i w:val="0"/>
          <w:sz w:val="22"/>
          <w:szCs w:val="22"/>
        </w:rPr>
      </w:pPr>
      <w:r w:rsidRPr="00E51F0E">
        <w:rPr>
          <w:b/>
          <w:i w:val="0"/>
          <w:sz w:val="22"/>
          <w:szCs w:val="22"/>
        </w:rPr>
        <w:t xml:space="preserve">Nombre del representante legal: </w:t>
      </w:r>
      <w:r w:rsidRPr="0067498B">
        <w:rPr>
          <w:i w:val="0"/>
          <w:sz w:val="22"/>
          <w:szCs w:val="22"/>
        </w:rPr>
        <w:t>R</w:t>
      </w:r>
      <w:r w:rsidRPr="00E51F0E">
        <w:rPr>
          <w:i w:val="0"/>
          <w:sz w:val="22"/>
          <w:szCs w:val="22"/>
        </w:rPr>
        <w:t>egistrar el nombre del representante</w:t>
      </w:r>
      <w:r>
        <w:rPr>
          <w:i w:val="0"/>
          <w:sz w:val="22"/>
          <w:szCs w:val="22"/>
        </w:rPr>
        <w:t xml:space="preserve"> </w:t>
      </w:r>
      <w:r w:rsidRPr="00E51F0E">
        <w:rPr>
          <w:i w:val="0"/>
          <w:sz w:val="22"/>
          <w:szCs w:val="22"/>
        </w:rPr>
        <w:t>legal</w:t>
      </w:r>
      <w:r w:rsidRPr="00E51F0E">
        <w:rPr>
          <w:b/>
          <w:i w:val="0"/>
          <w:sz w:val="22"/>
          <w:szCs w:val="22"/>
        </w:rPr>
        <w:t>.</w:t>
      </w:r>
    </w:p>
    <w:p w:rsidR="00695094" w:rsidRPr="00E51F0E" w:rsidRDefault="00695094" w:rsidP="00695094">
      <w:pPr>
        <w:numPr>
          <w:ilvl w:val="0"/>
          <w:numId w:val="10"/>
        </w:numPr>
        <w:suppressAutoHyphens w:val="0"/>
        <w:jc w:val="both"/>
        <w:rPr>
          <w:b/>
          <w:i w:val="0"/>
          <w:sz w:val="22"/>
          <w:szCs w:val="22"/>
        </w:rPr>
      </w:pPr>
      <w:r w:rsidRPr="0067498B">
        <w:rPr>
          <w:b/>
          <w:i w:val="0"/>
          <w:sz w:val="22"/>
          <w:szCs w:val="22"/>
        </w:rPr>
        <w:t>Nombre del Revisor Fiscal</w:t>
      </w:r>
      <w:r>
        <w:rPr>
          <w:b/>
          <w:i w:val="0"/>
          <w:sz w:val="22"/>
          <w:szCs w:val="22"/>
        </w:rPr>
        <w:t xml:space="preserve">: </w:t>
      </w:r>
      <w:r w:rsidRPr="0067498B">
        <w:rPr>
          <w:i w:val="0"/>
          <w:sz w:val="22"/>
          <w:szCs w:val="22"/>
        </w:rPr>
        <w:t>Re</w:t>
      </w:r>
      <w:r w:rsidRPr="00E51F0E">
        <w:rPr>
          <w:i w:val="0"/>
          <w:sz w:val="22"/>
          <w:szCs w:val="22"/>
        </w:rPr>
        <w:t xml:space="preserve">gistrar el nombre del </w:t>
      </w:r>
      <w:r>
        <w:rPr>
          <w:i w:val="0"/>
          <w:sz w:val="22"/>
          <w:szCs w:val="22"/>
        </w:rPr>
        <w:t xml:space="preserve">revisor fiscal, en caso de ser designado de una firma, indicar el nombre de la persona jurídica. </w:t>
      </w:r>
    </w:p>
    <w:p w:rsidR="00695094" w:rsidRPr="00C66E84" w:rsidRDefault="00695094" w:rsidP="00695094">
      <w:pPr>
        <w:numPr>
          <w:ilvl w:val="0"/>
          <w:numId w:val="10"/>
        </w:numPr>
        <w:suppressAutoHyphens w:val="0"/>
        <w:jc w:val="both"/>
        <w:rPr>
          <w:i w:val="0"/>
          <w:sz w:val="22"/>
          <w:szCs w:val="22"/>
        </w:rPr>
      </w:pPr>
      <w:r w:rsidRPr="00C66E84">
        <w:rPr>
          <w:b/>
          <w:i w:val="0"/>
          <w:sz w:val="22"/>
          <w:szCs w:val="22"/>
        </w:rPr>
        <w:t>Número de oficinas o sucursales</w:t>
      </w:r>
      <w:r>
        <w:rPr>
          <w:b/>
          <w:i w:val="0"/>
          <w:sz w:val="22"/>
          <w:szCs w:val="22"/>
        </w:rPr>
        <w:t xml:space="preserve">: </w:t>
      </w:r>
      <w:r w:rsidRPr="00C66E84">
        <w:rPr>
          <w:i w:val="0"/>
          <w:sz w:val="22"/>
          <w:szCs w:val="22"/>
        </w:rPr>
        <w:t>Diligencie el número de oficinas registradas al corte 31 de diciembre de 2013.</w:t>
      </w:r>
    </w:p>
    <w:p w:rsidR="00695094" w:rsidRPr="00C66E84" w:rsidRDefault="00695094" w:rsidP="00695094">
      <w:pPr>
        <w:numPr>
          <w:ilvl w:val="0"/>
          <w:numId w:val="10"/>
        </w:numPr>
        <w:suppressAutoHyphens w:val="0"/>
        <w:jc w:val="both"/>
        <w:rPr>
          <w:i w:val="0"/>
          <w:sz w:val="22"/>
          <w:szCs w:val="22"/>
        </w:rPr>
      </w:pPr>
      <w:r w:rsidRPr="00C66E84">
        <w:rPr>
          <w:b/>
          <w:i w:val="0"/>
          <w:sz w:val="22"/>
          <w:szCs w:val="22"/>
        </w:rPr>
        <w:t>Número de empleados:</w:t>
      </w:r>
      <w:r w:rsidRPr="00C66E84">
        <w:rPr>
          <w:i w:val="0"/>
          <w:sz w:val="22"/>
          <w:szCs w:val="22"/>
        </w:rPr>
        <w:t xml:space="preserve"> Diligencie el número de </w:t>
      </w:r>
      <w:r>
        <w:rPr>
          <w:i w:val="0"/>
          <w:sz w:val="22"/>
          <w:szCs w:val="22"/>
        </w:rPr>
        <w:t xml:space="preserve">empleados </w:t>
      </w:r>
      <w:r w:rsidRPr="00C66E84">
        <w:rPr>
          <w:i w:val="0"/>
          <w:sz w:val="22"/>
          <w:szCs w:val="22"/>
        </w:rPr>
        <w:t>al corte 31 de diciembre de 2013.</w:t>
      </w:r>
    </w:p>
    <w:p w:rsidR="00695094" w:rsidRPr="00C66E84" w:rsidRDefault="00695094" w:rsidP="00695094">
      <w:pPr>
        <w:numPr>
          <w:ilvl w:val="0"/>
          <w:numId w:val="10"/>
        </w:numPr>
        <w:suppressAutoHyphens w:val="0"/>
        <w:jc w:val="both"/>
        <w:rPr>
          <w:i w:val="0"/>
          <w:sz w:val="22"/>
          <w:szCs w:val="22"/>
        </w:rPr>
      </w:pPr>
      <w:r w:rsidRPr="00C66E84">
        <w:rPr>
          <w:b/>
          <w:i w:val="0"/>
          <w:sz w:val="22"/>
          <w:szCs w:val="22"/>
        </w:rPr>
        <w:t>Número de asociados</w:t>
      </w:r>
      <w:r>
        <w:rPr>
          <w:b/>
          <w:i w:val="0"/>
          <w:sz w:val="22"/>
          <w:szCs w:val="22"/>
        </w:rPr>
        <w:t xml:space="preserve">. </w:t>
      </w:r>
      <w:r w:rsidRPr="00C66E84">
        <w:rPr>
          <w:i w:val="0"/>
          <w:sz w:val="22"/>
          <w:szCs w:val="22"/>
        </w:rPr>
        <w:t xml:space="preserve">número de </w:t>
      </w:r>
      <w:r>
        <w:rPr>
          <w:i w:val="0"/>
          <w:sz w:val="22"/>
          <w:szCs w:val="22"/>
        </w:rPr>
        <w:t xml:space="preserve">asociados </w:t>
      </w:r>
      <w:r w:rsidRPr="00C66E84">
        <w:rPr>
          <w:i w:val="0"/>
          <w:sz w:val="22"/>
          <w:szCs w:val="22"/>
        </w:rPr>
        <w:t>al corte 31 de diciembre de 2013.</w:t>
      </w:r>
    </w:p>
    <w:p w:rsidR="00695094" w:rsidRDefault="00695094" w:rsidP="00695094">
      <w:pPr>
        <w:numPr>
          <w:ilvl w:val="0"/>
          <w:numId w:val="10"/>
        </w:numPr>
        <w:suppressAutoHyphens w:val="0"/>
        <w:jc w:val="both"/>
        <w:rPr>
          <w:b/>
          <w:i w:val="0"/>
          <w:sz w:val="22"/>
          <w:szCs w:val="22"/>
        </w:rPr>
      </w:pPr>
      <w:r w:rsidRPr="00C66E84">
        <w:rPr>
          <w:b/>
          <w:i w:val="0"/>
          <w:sz w:val="22"/>
          <w:szCs w:val="22"/>
        </w:rPr>
        <w:lastRenderedPageBreak/>
        <w:t>Cargo y nombre de la(s) persona que diligencian el formato (si son varias personas, separe por comas)</w:t>
      </w:r>
      <w:r>
        <w:rPr>
          <w:b/>
          <w:i w:val="0"/>
          <w:sz w:val="22"/>
          <w:szCs w:val="22"/>
        </w:rPr>
        <w:t xml:space="preserve">: </w:t>
      </w:r>
    </w:p>
    <w:p w:rsidR="00695094" w:rsidRPr="00C675D1" w:rsidRDefault="00695094" w:rsidP="00695094">
      <w:pPr>
        <w:numPr>
          <w:ilvl w:val="0"/>
          <w:numId w:val="5"/>
        </w:numPr>
        <w:suppressAutoHyphens w:val="0"/>
        <w:jc w:val="both"/>
        <w:rPr>
          <w:i w:val="0"/>
          <w:sz w:val="22"/>
          <w:szCs w:val="22"/>
        </w:rPr>
      </w:pPr>
      <w:r w:rsidRPr="00C675D1">
        <w:rPr>
          <w:b/>
          <w:i w:val="0"/>
          <w:sz w:val="22"/>
          <w:szCs w:val="22"/>
        </w:rPr>
        <w:t xml:space="preserve">Tipo de reporte: </w:t>
      </w:r>
      <w:r w:rsidRPr="00C675D1">
        <w:rPr>
          <w:i w:val="0"/>
          <w:sz w:val="22"/>
          <w:szCs w:val="22"/>
        </w:rPr>
        <w:t xml:space="preserve">Despliegue la ventana y encontrará el tipo de reporte que usted puede seleccionar: </w:t>
      </w:r>
      <w:r>
        <w:rPr>
          <w:i w:val="0"/>
          <w:sz w:val="22"/>
          <w:szCs w:val="22"/>
        </w:rPr>
        <w:t>a)</w:t>
      </w:r>
      <w:r w:rsidRPr="00C675D1">
        <w:rPr>
          <w:i w:val="0"/>
          <w:sz w:val="22"/>
          <w:szCs w:val="22"/>
        </w:rPr>
        <w:t xml:space="preserve"> Individual, </w:t>
      </w:r>
      <w:r>
        <w:rPr>
          <w:i w:val="0"/>
          <w:sz w:val="22"/>
          <w:szCs w:val="22"/>
        </w:rPr>
        <w:t>b)</w:t>
      </w:r>
      <w:r w:rsidRPr="00C675D1">
        <w:rPr>
          <w:i w:val="0"/>
          <w:sz w:val="22"/>
          <w:szCs w:val="22"/>
        </w:rPr>
        <w:t xml:space="preserve"> Separado y </w:t>
      </w:r>
      <w:r>
        <w:rPr>
          <w:i w:val="0"/>
          <w:sz w:val="22"/>
          <w:szCs w:val="22"/>
        </w:rPr>
        <w:t>c)</w:t>
      </w:r>
      <w:r w:rsidRPr="00C675D1">
        <w:rPr>
          <w:i w:val="0"/>
          <w:sz w:val="22"/>
          <w:szCs w:val="22"/>
        </w:rPr>
        <w:t xml:space="preserve"> Consolidado.</w:t>
      </w:r>
    </w:p>
    <w:p w:rsidR="00695094" w:rsidRPr="00C675D1" w:rsidRDefault="00695094" w:rsidP="00695094">
      <w:pPr>
        <w:numPr>
          <w:ilvl w:val="0"/>
          <w:numId w:val="5"/>
        </w:numPr>
        <w:suppressAutoHyphens w:val="0"/>
        <w:jc w:val="both"/>
        <w:rPr>
          <w:b/>
          <w:i w:val="0"/>
          <w:sz w:val="22"/>
          <w:szCs w:val="22"/>
        </w:rPr>
      </w:pPr>
      <w:r w:rsidRPr="00C675D1">
        <w:rPr>
          <w:b/>
          <w:i w:val="0"/>
          <w:sz w:val="22"/>
          <w:szCs w:val="22"/>
        </w:rPr>
        <w:t xml:space="preserve">Matriz, subordinada, independiente: </w:t>
      </w:r>
      <w:r w:rsidRPr="00C675D1">
        <w:rPr>
          <w:i w:val="0"/>
          <w:sz w:val="22"/>
          <w:szCs w:val="22"/>
        </w:rPr>
        <w:t xml:space="preserve">Despliegue la ventana y encontrará el tipo al que usted pertenece </w:t>
      </w:r>
      <w:r>
        <w:rPr>
          <w:i w:val="0"/>
          <w:sz w:val="22"/>
          <w:szCs w:val="22"/>
        </w:rPr>
        <w:t>a)</w:t>
      </w:r>
      <w:r w:rsidRPr="00C675D1">
        <w:rPr>
          <w:i w:val="0"/>
          <w:sz w:val="22"/>
          <w:szCs w:val="22"/>
        </w:rPr>
        <w:t xml:space="preserve"> Matriz, </w:t>
      </w:r>
      <w:r>
        <w:rPr>
          <w:i w:val="0"/>
          <w:sz w:val="22"/>
          <w:szCs w:val="22"/>
        </w:rPr>
        <w:t>b)</w:t>
      </w:r>
      <w:r w:rsidRPr="00C675D1">
        <w:rPr>
          <w:i w:val="0"/>
          <w:sz w:val="22"/>
          <w:szCs w:val="22"/>
        </w:rPr>
        <w:t xml:space="preserve"> Subordinada </w:t>
      </w:r>
      <w:proofErr w:type="gramStart"/>
      <w:r w:rsidRPr="00C675D1">
        <w:rPr>
          <w:i w:val="0"/>
          <w:sz w:val="22"/>
          <w:szCs w:val="22"/>
        </w:rPr>
        <w:t>y</w:t>
      </w:r>
      <w:proofErr w:type="gramEnd"/>
      <w:r w:rsidRPr="00C675D1">
        <w:rPr>
          <w:i w:val="0"/>
          <w:sz w:val="22"/>
          <w:szCs w:val="22"/>
        </w:rPr>
        <w:t xml:space="preserve"> </w:t>
      </w:r>
      <w:r>
        <w:rPr>
          <w:i w:val="0"/>
          <w:sz w:val="22"/>
          <w:szCs w:val="22"/>
        </w:rPr>
        <w:t>c)</w:t>
      </w:r>
      <w:r w:rsidRPr="00C675D1">
        <w:rPr>
          <w:i w:val="0"/>
          <w:sz w:val="22"/>
          <w:szCs w:val="22"/>
        </w:rPr>
        <w:t xml:space="preserve"> Independiente</w:t>
      </w:r>
      <w:r w:rsidRPr="00C675D1">
        <w:rPr>
          <w:b/>
          <w:i w:val="0"/>
          <w:sz w:val="22"/>
          <w:szCs w:val="22"/>
        </w:rPr>
        <w:t>.</w:t>
      </w:r>
    </w:p>
    <w:p w:rsidR="00695094" w:rsidRPr="00C675D1" w:rsidRDefault="00695094" w:rsidP="00695094">
      <w:pPr>
        <w:numPr>
          <w:ilvl w:val="0"/>
          <w:numId w:val="5"/>
        </w:numPr>
        <w:suppressAutoHyphens w:val="0"/>
        <w:jc w:val="both"/>
        <w:rPr>
          <w:i w:val="0"/>
          <w:sz w:val="22"/>
          <w:szCs w:val="22"/>
        </w:rPr>
      </w:pPr>
      <w:r w:rsidRPr="00C675D1">
        <w:rPr>
          <w:b/>
          <w:i w:val="0"/>
          <w:sz w:val="22"/>
          <w:szCs w:val="22"/>
        </w:rPr>
        <w:t xml:space="preserve">Nombre de la matriz (si es subordinada): </w:t>
      </w:r>
      <w:r w:rsidRPr="00C675D1">
        <w:rPr>
          <w:i w:val="0"/>
          <w:sz w:val="22"/>
          <w:szCs w:val="22"/>
        </w:rPr>
        <w:t>Diligencie el nombre de su matriz en caso de que aplique.</w:t>
      </w:r>
    </w:p>
    <w:p w:rsidR="00695094" w:rsidRPr="00D44A2E" w:rsidRDefault="00695094" w:rsidP="00695094">
      <w:pPr>
        <w:pStyle w:val="Prrafodelista"/>
        <w:numPr>
          <w:ilvl w:val="0"/>
          <w:numId w:val="5"/>
        </w:numPr>
        <w:jc w:val="both"/>
        <w:rPr>
          <w:rFonts w:ascii="Arial" w:hAnsi="Arial" w:cs="Arial"/>
          <w:b/>
          <w:sz w:val="22"/>
          <w:szCs w:val="22"/>
          <w:lang w:val="es-CO" w:eastAsia="ar-SA"/>
        </w:rPr>
      </w:pPr>
      <w:r w:rsidRPr="00D44A2E">
        <w:rPr>
          <w:rFonts w:ascii="Arial" w:hAnsi="Arial" w:cs="Arial"/>
          <w:b/>
          <w:sz w:val="22"/>
          <w:szCs w:val="22"/>
          <w:lang w:val="es-CO" w:eastAsia="ar-SA"/>
        </w:rPr>
        <w:t xml:space="preserve">Nivel de supervisión: </w:t>
      </w:r>
      <w:r w:rsidRPr="00D44A2E">
        <w:rPr>
          <w:rFonts w:ascii="Arial" w:hAnsi="Arial" w:cs="Arial"/>
          <w:i/>
          <w:sz w:val="22"/>
          <w:szCs w:val="22"/>
        </w:rPr>
        <w:t>Nivel 1</w:t>
      </w:r>
      <w:r w:rsidRPr="00D44A2E">
        <w:rPr>
          <w:rFonts w:ascii="Arial" w:hAnsi="Arial" w:cs="Arial"/>
          <w:sz w:val="22"/>
          <w:szCs w:val="22"/>
        </w:rPr>
        <w:t xml:space="preserve">. Cobija a todas las entidades que ejercen actividad financiera, es decir cooperativas especializadas de ahorro y crédito, cooperativas </w:t>
      </w:r>
      <w:proofErr w:type="spellStart"/>
      <w:r w:rsidRPr="00D44A2E">
        <w:rPr>
          <w:rFonts w:ascii="Arial" w:hAnsi="Arial" w:cs="Arial"/>
          <w:sz w:val="22"/>
          <w:szCs w:val="22"/>
        </w:rPr>
        <w:t>multiactivas</w:t>
      </w:r>
      <w:proofErr w:type="spellEnd"/>
      <w:r w:rsidRPr="00D44A2E">
        <w:rPr>
          <w:rFonts w:ascii="Arial" w:hAnsi="Arial" w:cs="Arial"/>
          <w:sz w:val="22"/>
          <w:szCs w:val="22"/>
        </w:rPr>
        <w:t xml:space="preserve"> con sección de ahorro y además, las organizaciones de economía solidaria que mediante acto administrativo la Superintendencia ubique en este nivel. </w:t>
      </w:r>
      <w:r w:rsidRPr="00D44A2E">
        <w:rPr>
          <w:rFonts w:ascii="Arial" w:hAnsi="Arial" w:cs="Arial"/>
          <w:i/>
          <w:sz w:val="22"/>
          <w:szCs w:val="22"/>
        </w:rPr>
        <w:t>Nivel 2</w:t>
      </w:r>
      <w:r w:rsidRPr="00D44A2E">
        <w:rPr>
          <w:rFonts w:ascii="Arial" w:hAnsi="Arial" w:cs="Arial"/>
          <w:sz w:val="22"/>
          <w:szCs w:val="22"/>
        </w:rPr>
        <w:t>. Cobija a cooperativas sin sección de ahorro y crédito, administraciones públicas cooperativas, fondos de empleados, asociaciones mutuales e instituciones auxiliares cuyos activos a 31 de diciembre de 2013 sean iguales o superiores a $3.254.936.375</w:t>
      </w:r>
      <w:r>
        <w:rPr>
          <w:rFonts w:ascii="Arial" w:hAnsi="Arial" w:cs="Arial"/>
          <w:sz w:val="22"/>
          <w:szCs w:val="22"/>
        </w:rPr>
        <w:t xml:space="preserve">. </w:t>
      </w:r>
      <w:r w:rsidRPr="00D44A2E">
        <w:rPr>
          <w:rFonts w:ascii="Arial" w:hAnsi="Arial" w:cs="Arial"/>
          <w:i/>
          <w:sz w:val="22"/>
          <w:szCs w:val="22"/>
        </w:rPr>
        <w:t>Nivel 3</w:t>
      </w:r>
      <w:r w:rsidRPr="00D44A2E">
        <w:rPr>
          <w:rFonts w:ascii="Arial" w:hAnsi="Arial" w:cs="Arial"/>
          <w:sz w:val="22"/>
          <w:szCs w:val="22"/>
        </w:rPr>
        <w:t>. Cobija a cooperativas sin sección de ahorro y crédito, administraciones públicas cooperativas, fondos de empleados, asociaciones mutuales e instituciones auxiliares cuyos activos a 31 de diciembre de 2013 sean inferiores a dos mil ochocientos cincuenta y cuatro millones trescientos treinta y nueve mil setecientos cincuenta y cinco pesos $3.254.936.375.</w:t>
      </w:r>
    </w:p>
    <w:p w:rsidR="00695094" w:rsidRDefault="00695094" w:rsidP="00695094">
      <w:pPr>
        <w:pStyle w:val="Prrafodelista"/>
        <w:jc w:val="both"/>
        <w:rPr>
          <w:rFonts w:ascii="Arial" w:hAnsi="Arial" w:cs="Arial"/>
          <w:b/>
          <w:sz w:val="22"/>
          <w:szCs w:val="22"/>
          <w:lang w:val="es-CO" w:eastAsia="ar-SA"/>
        </w:rPr>
      </w:pPr>
    </w:p>
    <w:p w:rsidR="00695094" w:rsidRPr="00C675D1" w:rsidRDefault="00B04D1C" w:rsidP="00695094">
      <w:pPr>
        <w:pStyle w:val="Prrafodelista"/>
        <w:numPr>
          <w:ilvl w:val="0"/>
          <w:numId w:val="12"/>
        </w:numPr>
        <w:ind w:left="284" w:hanging="284"/>
        <w:jc w:val="both"/>
        <w:rPr>
          <w:rFonts w:ascii="Arial" w:hAnsi="Arial" w:cs="Arial"/>
          <w:b/>
          <w:sz w:val="22"/>
          <w:szCs w:val="22"/>
        </w:rPr>
      </w:pPr>
      <w:r w:rsidRPr="00C675D1">
        <w:rPr>
          <w:rFonts w:ascii="Arial" w:hAnsi="Arial" w:cs="Arial"/>
          <w:b/>
          <w:sz w:val="22"/>
          <w:szCs w:val="22"/>
        </w:rPr>
        <w:t>Hoja de trabajo</w:t>
      </w:r>
    </w:p>
    <w:p w:rsidR="00695094" w:rsidRPr="00C675D1" w:rsidRDefault="00695094" w:rsidP="00695094">
      <w:pPr>
        <w:pStyle w:val="Prrafodelista"/>
        <w:jc w:val="both"/>
        <w:rPr>
          <w:rFonts w:ascii="Arial" w:hAnsi="Arial" w:cs="Arial"/>
          <w:b/>
          <w:sz w:val="22"/>
          <w:szCs w:val="22"/>
        </w:rPr>
      </w:pPr>
    </w:p>
    <w:p w:rsidR="00695094" w:rsidRPr="0067498B" w:rsidRDefault="00695094" w:rsidP="00695094">
      <w:pPr>
        <w:jc w:val="both"/>
        <w:rPr>
          <w:i w:val="0"/>
          <w:sz w:val="22"/>
          <w:szCs w:val="22"/>
        </w:rPr>
      </w:pPr>
      <w:r>
        <w:rPr>
          <w:i w:val="0"/>
          <w:sz w:val="22"/>
          <w:szCs w:val="22"/>
        </w:rPr>
        <w:t>Está</w:t>
      </w:r>
      <w:r w:rsidRPr="0067498B">
        <w:rPr>
          <w:i w:val="0"/>
          <w:sz w:val="22"/>
          <w:szCs w:val="22"/>
        </w:rPr>
        <w:t xml:space="preserve"> diseñado para que puedan observar los efectos de la adopción de normas internacionales mediante reclasificación y ajustes de saldos tras el cumplimiento de las normas aplicables, la cual está dividida en dos partes: </w:t>
      </w:r>
    </w:p>
    <w:p w:rsidR="00695094" w:rsidRPr="0067498B" w:rsidRDefault="00695094" w:rsidP="00695094">
      <w:pPr>
        <w:jc w:val="both"/>
        <w:rPr>
          <w:i w:val="0"/>
          <w:sz w:val="22"/>
          <w:szCs w:val="22"/>
        </w:rPr>
      </w:pPr>
    </w:p>
    <w:p w:rsidR="00695094" w:rsidRPr="0080308D" w:rsidRDefault="00695094" w:rsidP="00695094">
      <w:pPr>
        <w:jc w:val="both"/>
        <w:rPr>
          <w:i w:val="0"/>
          <w:sz w:val="22"/>
          <w:szCs w:val="22"/>
        </w:rPr>
      </w:pPr>
      <w:r w:rsidRPr="0080308D">
        <w:rPr>
          <w:i w:val="0"/>
          <w:sz w:val="22"/>
          <w:szCs w:val="22"/>
        </w:rPr>
        <w:t>La primera parte, de esta hoja de trabajo consta de 10 columnas, a continuación se explica su diligenciamiento:</w:t>
      </w:r>
    </w:p>
    <w:p w:rsidR="00695094" w:rsidRPr="00C675D1" w:rsidRDefault="00695094" w:rsidP="00695094">
      <w:pPr>
        <w:pStyle w:val="Prrafodelista"/>
        <w:ind w:left="360"/>
        <w:jc w:val="both"/>
        <w:rPr>
          <w:rFonts w:ascii="Arial" w:hAnsi="Arial" w:cs="Arial"/>
          <w:sz w:val="22"/>
          <w:szCs w:val="22"/>
        </w:rPr>
      </w:pP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Código de la Cuenta</w:t>
      </w:r>
      <w:r w:rsidRPr="00C675D1">
        <w:rPr>
          <w:rFonts w:ascii="Arial" w:hAnsi="Arial" w:cs="Arial"/>
          <w:sz w:val="22"/>
          <w:szCs w:val="22"/>
        </w:rPr>
        <w:t xml:space="preserve">: Este código corresponde al Plan Único de Cuentas </w:t>
      </w:r>
      <w:r>
        <w:rPr>
          <w:rFonts w:ascii="Arial" w:hAnsi="Arial" w:cs="Arial"/>
          <w:sz w:val="22"/>
          <w:szCs w:val="22"/>
        </w:rPr>
        <w:t xml:space="preserve">vigente que aplican las organizaciones </w:t>
      </w:r>
      <w:r w:rsidRPr="00C675D1">
        <w:rPr>
          <w:rFonts w:ascii="Arial" w:hAnsi="Arial" w:cs="Arial"/>
          <w:sz w:val="22"/>
          <w:szCs w:val="22"/>
        </w:rPr>
        <w:t xml:space="preserve">supervisada por esta Superintendencia. </w:t>
      </w:r>
    </w:p>
    <w:p w:rsidR="00695094" w:rsidRPr="00C675D1" w:rsidRDefault="00695094" w:rsidP="00695094">
      <w:pPr>
        <w:pStyle w:val="Prrafodelista"/>
        <w:jc w:val="both"/>
        <w:rPr>
          <w:rFonts w:ascii="Arial" w:hAnsi="Arial" w:cs="Arial"/>
          <w:sz w:val="22"/>
          <w:szCs w:val="22"/>
        </w:rPr>
      </w:pP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Nombre de la Cuenta</w:t>
      </w:r>
      <w:r w:rsidRPr="00C675D1">
        <w:rPr>
          <w:rFonts w:ascii="Arial" w:hAnsi="Arial" w:cs="Arial"/>
          <w:sz w:val="22"/>
          <w:szCs w:val="22"/>
        </w:rPr>
        <w:t xml:space="preserve">: Corresponde al definido en el correspondiente Plan Único de Cuentas. </w:t>
      </w:r>
    </w:p>
    <w:p w:rsidR="00695094" w:rsidRPr="00C675D1" w:rsidRDefault="00695094" w:rsidP="00695094">
      <w:pPr>
        <w:pStyle w:val="Prrafodelista"/>
        <w:jc w:val="both"/>
        <w:rPr>
          <w:rFonts w:ascii="Arial" w:hAnsi="Arial" w:cs="Arial"/>
          <w:sz w:val="22"/>
          <w:szCs w:val="22"/>
        </w:rPr>
      </w:pP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Saldo inicial PCGA</w:t>
      </w:r>
      <w:r w:rsidRPr="00C675D1">
        <w:rPr>
          <w:rFonts w:ascii="Arial" w:hAnsi="Arial" w:cs="Arial"/>
          <w:sz w:val="22"/>
          <w:szCs w:val="22"/>
        </w:rPr>
        <w:t xml:space="preserve"> </w:t>
      </w:r>
      <w:r w:rsidRPr="00C675D1">
        <w:rPr>
          <w:rFonts w:ascii="Arial" w:hAnsi="Arial" w:cs="Arial"/>
          <w:b/>
          <w:sz w:val="22"/>
          <w:szCs w:val="22"/>
        </w:rPr>
        <w:t>al 1 de enero de 2014</w:t>
      </w:r>
      <w:r w:rsidRPr="00C675D1">
        <w:rPr>
          <w:rFonts w:ascii="Arial" w:hAnsi="Arial" w:cs="Arial"/>
          <w:sz w:val="22"/>
          <w:szCs w:val="22"/>
        </w:rPr>
        <w:t>: La entidad debe diligenciar aquí el saldo correspondiente al registrado con corte al 31 de diciembre de 2013.</w:t>
      </w:r>
    </w:p>
    <w:p w:rsidR="00695094" w:rsidRPr="00C675D1" w:rsidRDefault="00695094" w:rsidP="00695094">
      <w:pPr>
        <w:pStyle w:val="Prrafodelista"/>
        <w:jc w:val="both"/>
        <w:rPr>
          <w:rFonts w:ascii="Arial" w:hAnsi="Arial" w:cs="Arial"/>
          <w:sz w:val="22"/>
          <w:szCs w:val="22"/>
        </w:rPr>
      </w:pP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Ajustes por errores en PCGA</w:t>
      </w:r>
      <w:r w:rsidR="00F13F44">
        <w:rPr>
          <w:rStyle w:val="Refdenotaalpie"/>
          <w:rFonts w:ascii="Arial" w:hAnsi="Arial" w:cs="Arial"/>
          <w:b/>
          <w:sz w:val="22"/>
          <w:szCs w:val="22"/>
        </w:rPr>
        <w:footnoteReference w:id="1"/>
      </w:r>
      <w:r w:rsidRPr="00C675D1">
        <w:rPr>
          <w:rFonts w:ascii="Arial" w:hAnsi="Arial" w:cs="Arial"/>
          <w:b/>
          <w:sz w:val="22"/>
          <w:szCs w:val="22"/>
        </w:rPr>
        <w:t xml:space="preserve"> débito:</w:t>
      </w:r>
      <w:r w:rsidRPr="00C675D1">
        <w:rPr>
          <w:rFonts w:ascii="Arial" w:hAnsi="Arial" w:cs="Arial"/>
          <w:sz w:val="22"/>
          <w:szCs w:val="22"/>
        </w:rPr>
        <w:t xml:space="preserve"> Una vez realizado el análisis de la información financiera, la entidad debe reportar aquí los ajustes </w:t>
      </w:r>
      <w:r w:rsidR="000F5EDE">
        <w:rPr>
          <w:rFonts w:ascii="Arial" w:hAnsi="Arial" w:cs="Arial"/>
          <w:sz w:val="22"/>
          <w:szCs w:val="22"/>
        </w:rPr>
        <w:t>por errores en PC</w:t>
      </w:r>
      <w:r w:rsidR="00F13F44">
        <w:rPr>
          <w:rFonts w:ascii="Arial" w:hAnsi="Arial" w:cs="Arial"/>
          <w:sz w:val="22"/>
          <w:szCs w:val="22"/>
        </w:rPr>
        <w:t>GA</w:t>
      </w:r>
      <w:r w:rsidR="000F5EDE">
        <w:rPr>
          <w:rFonts w:ascii="Arial" w:hAnsi="Arial" w:cs="Arial"/>
          <w:sz w:val="22"/>
          <w:szCs w:val="22"/>
        </w:rPr>
        <w:t xml:space="preserve"> local </w:t>
      </w:r>
      <w:r w:rsidRPr="00C675D1">
        <w:rPr>
          <w:rFonts w:ascii="Arial" w:hAnsi="Arial" w:cs="Arial"/>
          <w:sz w:val="22"/>
          <w:szCs w:val="22"/>
        </w:rPr>
        <w:t xml:space="preserve">que se generen atendiendo lo establecido en la NIIF 1 Adopción por primera vez, los cuales deben ser registrados en la casilla correspondiente con naturaleza débito. </w:t>
      </w:r>
    </w:p>
    <w:p w:rsidR="00695094" w:rsidRPr="00C675D1" w:rsidRDefault="00695094" w:rsidP="00695094">
      <w:pPr>
        <w:pStyle w:val="Prrafodelista"/>
        <w:rPr>
          <w:rFonts w:ascii="Arial" w:hAnsi="Arial" w:cs="Arial"/>
          <w:b/>
          <w:sz w:val="22"/>
          <w:szCs w:val="22"/>
        </w:rPr>
      </w:pPr>
    </w:p>
    <w:p w:rsidR="00695094" w:rsidRDefault="00695094" w:rsidP="003D68C2">
      <w:pPr>
        <w:pStyle w:val="Prrafodelista"/>
        <w:numPr>
          <w:ilvl w:val="0"/>
          <w:numId w:val="6"/>
        </w:numPr>
        <w:ind w:left="284" w:hanging="284"/>
        <w:jc w:val="both"/>
        <w:rPr>
          <w:rFonts w:ascii="Arial" w:hAnsi="Arial" w:cs="Arial"/>
          <w:sz w:val="22"/>
          <w:szCs w:val="22"/>
        </w:rPr>
      </w:pPr>
      <w:r w:rsidRPr="003D68C2">
        <w:rPr>
          <w:rFonts w:ascii="Arial" w:hAnsi="Arial" w:cs="Arial"/>
          <w:b/>
          <w:sz w:val="22"/>
          <w:szCs w:val="22"/>
        </w:rPr>
        <w:t>Ajustes por errores en PCGA crédito:</w:t>
      </w:r>
      <w:r w:rsidRPr="003D68C2">
        <w:rPr>
          <w:rFonts w:ascii="Arial" w:hAnsi="Arial" w:cs="Arial"/>
          <w:sz w:val="22"/>
          <w:szCs w:val="22"/>
        </w:rPr>
        <w:t xml:space="preserve"> </w:t>
      </w:r>
      <w:r w:rsidR="003D68C2" w:rsidRPr="00C675D1">
        <w:rPr>
          <w:rFonts w:ascii="Arial" w:hAnsi="Arial" w:cs="Arial"/>
          <w:sz w:val="22"/>
          <w:szCs w:val="22"/>
        </w:rPr>
        <w:t xml:space="preserve">Una vez realizado el análisis de la información financiera, la entidad debe reportar aquí los ajustes </w:t>
      </w:r>
      <w:r w:rsidR="003D68C2">
        <w:rPr>
          <w:rFonts w:ascii="Arial" w:hAnsi="Arial" w:cs="Arial"/>
          <w:sz w:val="22"/>
          <w:szCs w:val="22"/>
        </w:rPr>
        <w:t xml:space="preserve">por errores en PCGA local </w:t>
      </w:r>
      <w:r w:rsidR="003D68C2" w:rsidRPr="00C675D1">
        <w:rPr>
          <w:rFonts w:ascii="Arial" w:hAnsi="Arial" w:cs="Arial"/>
          <w:sz w:val="22"/>
          <w:szCs w:val="22"/>
        </w:rPr>
        <w:t>que se generen atendiendo lo establecido en la NIIF 1 Adopción por primera vez, los cuales deben ser registrados en la casilla correspondiente con n</w:t>
      </w:r>
      <w:r w:rsidR="003D68C2">
        <w:rPr>
          <w:rFonts w:ascii="Arial" w:hAnsi="Arial" w:cs="Arial"/>
          <w:sz w:val="22"/>
          <w:szCs w:val="22"/>
        </w:rPr>
        <w:t>aturaleza crédito.</w:t>
      </w:r>
    </w:p>
    <w:p w:rsidR="003D68C2" w:rsidRPr="003D68C2" w:rsidRDefault="003D68C2" w:rsidP="003D68C2">
      <w:pPr>
        <w:pStyle w:val="Prrafodelista"/>
        <w:rPr>
          <w:rFonts w:ascii="Arial" w:hAnsi="Arial" w:cs="Arial"/>
          <w:sz w:val="22"/>
          <w:szCs w:val="22"/>
        </w:rPr>
      </w:pPr>
    </w:p>
    <w:p w:rsidR="003D68C2" w:rsidRPr="003D68C2" w:rsidRDefault="003D68C2" w:rsidP="003D68C2">
      <w:pPr>
        <w:pStyle w:val="Prrafodelista"/>
        <w:ind w:left="284"/>
        <w:jc w:val="both"/>
        <w:rPr>
          <w:rFonts w:ascii="Arial" w:hAnsi="Arial" w:cs="Arial"/>
          <w:sz w:val="22"/>
          <w:szCs w:val="22"/>
        </w:rPr>
      </w:pP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Ajustes por convergencia a NIIF débito</w:t>
      </w:r>
      <w:r w:rsidRPr="00C675D1">
        <w:rPr>
          <w:rFonts w:ascii="Arial" w:hAnsi="Arial" w:cs="Arial"/>
          <w:sz w:val="22"/>
          <w:szCs w:val="22"/>
        </w:rPr>
        <w:t xml:space="preserve">: La </w:t>
      </w:r>
      <w:r>
        <w:rPr>
          <w:rFonts w:ascii="Arial" w:hAnsi="Arial" w:cs="Arial"/>
          <w:sz w:val="22"/>
          <w:szCs w:val="22"/>
        </w:rPr>
        <w:t>organización</w:t>
      </w:r>
      <w:r w:rsidRPr="00C675D1">
        <w:rPr>
          <w:rFonts w:ascii="Arial" w:hAnsi="Arial" w:cs="Arial"/>
          <w:sz w:val="22"/>
          <w:szCs w:val="22"/>
        </w:rPr>
        <w:t xml:space="preserve"> debe determinar y registrar los ajustes débito que resulten del proceso de convergencia a partir de la aplicación de la NIIF 1 - Adopción por primera vez.</w:t>
      </w:r>
    </w:p>
    <w:p w:rsidR="00695094" w:rsidRPr="00C675D1" w:rsidRDefault="00695094" w:rsidP="00695094">
      <w:pPr>
        <w:pStyle w:val="Prrafodelista"/>
        <w:ind w:left="1440"/>
        <w:jc w:val="both"/>
        <w:rPr>
          <w:rFonts w:ascii="Arial" w:hAnsi="Arial" w:cs="Arial"/>
          <w:sz w:val="22"/>
          <w:szCs w:val="22"/>
        </w:rPr>
      </w:pP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Ajustes por convergencia a NIIF crédito</w:t>
      </w:r>
      <w:r w:rsidRPr="00C675D1">
        <w:rPr>
          <w:rFonts w:ascii="Arial" w:hAnsi="Arial" w:cs="Arial"/>
          <w:sz w:val="22"/>
          <w:szCs w:val="22"/>
        </w:rPr>
        <w:t xml:space="preserve">: La entidad debe determinar y registrar los ajustes crédito que resulten del proceso de convergencia a partir de la aplicación de la NIIF 1 - Adopción por primera vez. </w:t>
      </w:r>
    </w:p>
    <w:p w:rsidR="00695094" w:rsidRPr="00C675D1" w:rsidRDefault="00695094" w:rsidP="00695094">
      <w:pPr>
        <w:pStyle w:val="Prrafodelista"/>
        <w:rPr>
          <w:rFonts w:ascii="Arial" w:hAnsi="Arial" w:cs="Arial"/>
          <w:sz w:val="22"/>
          <w:szCs w:val="22"/>
        </w:rPr>
      </w:pP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Reclasificaciones por convergencia a NIIF débito</w:t>
      </w:r>
      <w:r w:rsidRPr="00C675D1">
        <w:rPr>
          <w:rFonts w:ascii="Arial" w:hAnsi="Arial" w:cs="Arial"/>
          <w:sz w:val="22"/>
          <w:szCs w:val="22"/>
        </w:rPr>
        <w:t xml:space="preserve">: Si como resultado del proceso de aplicación por primera vez se identifican nuevas partidas o elementos de los estados financieros que deban reclasificarse, los efectos de naturaleza débito se deben reflejar en esta columna. </w:t>
      </w:r>
    </w:p>
    <w:p w:rsidR="00695094" w:rsidRPr="00C675D1" w:rsidRDefault="00695094" w:rsidP="00695094">
      <w:pPr>
        <w:pStyle w:val="Prrafodelista"/>
        <w:jc w:val="both"/>
        <w:rPr>
          <w:rFonts w:ascii="Arial" w:hAnsi="Arial" w:cs="Arial"/>
          <w:sz w:val="22"/>
          <w:szCs w:val="22"/>
        </w:rPr>
      </w:pPr>
      <w:r w:rsidRPr="00C675D1">
        <w:rPr>
          <w:rFonts w:ascii="Arial" w:hAnsi="Arial" w:cs="Arial"/>
          <w:sz w:val="22"/>
          <w:szCs w:val="22"/>
        </w:rPr>
        <w:t xml:space="preserve"> </w:t>
      </w: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Reclasificaciones por convergencia a NIIF crédito</w:t>
      </w:r>
      <w:r w:rsidRPr="00C675D1">
        <w:rPr>
          <w:rFonts w:ascii="Arial" w:hAnsi="Arial" w:cs="Arial"/>
          <w:sz w:val="22"/>
          <w:szCs w:val="22"/>
        </w:rPr>
        <w:t>: Si como resultado del proceso de aplicación por primera vez se identifican nuevas partidas o elementos de los estados financieros que deban reclasificarse, los efectos de naturaleza crédito se deben reflejar en esta columna.</w:t>
      </w:r>
    </w:p>
    <w:p w:rsidR="00695094" w:rsidRPr="00C675D1" w:rsidRDefault="00695094" w:rsidP="00695094">
      <w:pPr>
        <w:pStyle w:val="Prrafodelista"/>
        <w:ind w:left="1440"/>
        <w:jc w:val="both"/>
        <w:rPr>
          <w:rFonts w:ascii="Arial" w:hAnsi="Arial" w:cs="Arial"/>
          <w:sz w:val="22"/>
          <w:szCs w:val="22"/>
        </w:rPr>
      </w:pPr>
    </w:p>
    <w:p w:rsidR="00695094" w:rsidRPr="00C675D1" w:rsidRDefault="00695094" w:rsidP="00695094">
      <w:pPr>
        <w:pStyle w:val="Prrafodelista"/>
        <w:numPr>
          <w:ilvl w:val="0"/>
          <w:numId w:val="6"/>
        </w:numPr>
        <w:jc w:val="both"/>
        <w:rPr>
          <w:rFonts w:ascii="Arial" w:hAnsi="Arial" w:cs="Arial"/>
          <w:sz w:val="22"/>
          <w:szCs w:val="22"/>
        </w:rPr>
      </w:pPr>
      <w:r w:rsidRPr="00C675D1">
        <w:rPr>
          <w:rFonts w:ascii="Arial" w:hAnsi="Arial" w:cs="Arial"/>
          <w:b/>
          <w:sz w:val="22"/>
          <w:szCs w:val="22"/>
        </w:rPr>
        <w:t>Columna de Control al 1 de enero de 2014</w:t>
      </w:r>
      <w:r w:rsidRPr="00C675D1">
        <w:rPr>
          <w:rFonts w:ascii="Arial" w:hAnsi="Arial" w:cs="Arial"/>
          <w:sz w:val="22"/>
          <w:szCs w:val="22"/>
        </w:rPr>
        <w:t>: Esta columna deberá diligenciarse con los valores o saldos de los activos, pasivos y patrimonio que queden definidos al final del ejercicio de aplicación por primera vez de las NIIF. Las demás partidas que no conlleven su reconocimiento bajo NIIF deberán presentar al final del diligenciamiento, en todos los casos, un saldo igual cero (0).</w:t>
      </w:r>
    </w:p>
    <w:p w:rsidR="00695094" w:rsidRPr="00C675D1" w:rsidRDefault="00695094" w:rsidP="00695094">
      <w:pPr>
        <w:pStyle w:val="Prrafodelista"/>
        <w:rPr>
          <w:rFonts w:ascii="Arial" w:hAnsi="Arial" w:cs="Arial"/>
          <w:sz w:val="22"/>
          <w:szCs w:val="22"/>
        </w:rPr>
      </w:pPr>
    </w:p>
    <w:p w:rsidR="00655E51" w:rsidRDefault="00695094" w:rsidP="00695094">
      <w:pPr>
        <w:pStyle w:val="Prrafodelista"/>
        <w:ind w:left="360"/>
        <w:jc w:val="both"/>
        <w:rPr>
          <w:rFonts w:ascii="Arial" w:hAnsi="Arial" w:cs="Arial"/>
          <w:sz w:val="22"/>
          <w:szCs w:val="22"/>
        </w:rPr>
      </w:pPr>
      <w:r w:rsidRPr="00C675D1">
        <w:rPr>
          <w:rFonts w:ascii="Arial" w:hAnsi="Arial" w:cs="Arial"/>
          <w:sz w:val="22"/>
          <w:szCs w:val="22"/>
        </w:rPr>
        <w:t xml:space="preserve">Se mantuvo el detalle de las cuentas de orden, debido a que muchas de ellas son susceptibles de ser reclasificadas al Estado de Situación Financiera de Apertura. </w:t>
      </w:r>
    </w:p>
    <w:p w:rsidR="00655E51" w:rsidRDefault="00655E51" w:rsidP="00695094">
      <w:pPr>
        <w:pStyle w:val="Prrafodelista"/>
        <w:ind w:left="360"/>
        <w:jc w:val="both"/>
        <w:rPr>
          <w:rFonts w:ascii="Arial" w:hAnsi="Arial" w:cs="Arial"/>
          <w:sz w:val="22"/>
          <w:szCs w:val="22"/>
        </w:rPr>
      </w:pPr>
    </w:p>
    <w:p w:rsidR="00695094" w:rsidRPr="00655E51" w:rsidRDefault="00695094" w:rsidP="00655E51">
      <w:pPr>
        <w:jc w:val="both"/>
        <w:rPr>
          <w:i w:val="0"/>
          <w:sz w:val="22"/>
          <w:szCs w:val="22"/>
        </w:rPr>
      </w:pPr>
      <w:r w:rsidRPr="00655E51">
        <w:rPr>
          <w:i w:val="0"/>
          <w:sz w:val="22"/>
          <w:szCs w:val="22"/>
        </w:rPr>
        <w:t>Seguidamente</w:t>
      </w:r>
      <w:r w:rsidR="00655E51">
        <w:rPr>
          <w:i w:val="0"/>
          <w:sz w:val="22"/>
          <w:szCs w:val="22"/>
        </w:rPr>
        <w:t>,</w:t>
      </w:r>
      <w:r w:rsidRPr="00655E51">
        <w:rPr>
          <w:i w:val="0"/>
          <w:sz w:val="22"/>
          <w:szCs w:val="22"/>
        </w:rPr>
        <w:t xml:space="preserve"> esta hoja incluye el detalle del Estado de Situación Financiera </w:t>
      </w:r>
      <w:r w:rsidR="00337ED3" w:rsidRPr="00655E51">
        <w:rPr>
          <w:i w:val="0"/>
          <w:sz w:val="22"/>
          <w:szCs w:val="22"/>
        </w:rPr>
        <w:t xml:space="preserve">de Apertura </w:t>
      </w:r>
      <w:r w:rsidRPr="00655E51">
        <w:rPr>
          <w:i w:val="0"/>
          <w:sz w:val="22"/>
          <w:szCs w:val="22"/>
        </w:rPr>
        <w:t>(Activo, Pasivo y Patrimonio)</w:t>
      </w:r>
      <w:r w:rsidR="00655E51">
        <w:rPr>
          <w:i w:val="0"/>
          <w:sz w:val="22"/>
          <w:szCs w:val="22"/>
        </w:rPr>
        <w:t xml:space="preserve">, </w:t>
      </w:r>
      <w:r w:rsidR="00655E51" w:rsidRPr="00C675D1">
        <w:rPr>
          <w:i w:val="0"/>
          <w:sz w:val="22"/>
          <w:szCs w:val="22"/>
        </w:rPr>
        <w:t>las cuentas están ordenadas por liquidez de</w:t>
      </w:r>
      <w:r w:rsidR="00655E51">
        <w:rPr>
          <w:i w:val="0"/>
          <w:sz w:val="22"/>
          <w:szCs w:val="22"/>
        </w:rPr>
        <w:t xml:space="preserve"> acuerdo con la operatividad del sector </w:t>
      </w:r>
      <w:r w:rsidR="00655E51" w:rsidRPr="00C675D1">
        <w:rPr>
          <w:i w:val="0"/>
          <w:sz w:val="22"/>
          <w:szCs w:val="22"/>
        </w:rPr>
        <w:t>e incluye los nombres de las cuentas que utiliza la taxonomía XBRL, recomendada por el IASB</w:t>
      </w:r>
    </w:p>
    <w:p w:rsidR="00655E51" w:rsidRPr="00655E51" w:rsidRDefault="00655E51" w:rsidP="00695094">
      <w:pPr>
        <w:pStyle w:val="Prrafodelista"/>
        <w:ind w:left="0"/>
        <w:jc w:val="both"/>
        <w:rPr>
          <w:rFonts w:ascii="Arial" w:hAnsi="Arial" w:cs="Arial"/>
          <w:b/>
          <w:sz w:val="22"/>
          <w:szCs w:val="22"/>
          <w:lang w:val="es-CO"/>
        </w:rPr>
      </w:pPr>
    </w:p>
    <w:p w:rsidR="00695094" w:rsidRPr="00C675D1" w:rsidRDefault="00695094" w:rsidP="00695094">
      <w:pPr>
        <w:pStyle w:val="Prrafodelista"/>
        <w:ind w:left="0"/>
        <w:jc w:val="both"/>
        <w:rPr>
          <w:rFonts w:ascii="Arial" w:hAnsi="Arial" w:cs="Arial"/>
          <w:sz w:val="22"/>
          <w:szCs w:val="22"/>
        </w:rPr>
      </w:pPr>
      <w:r w:rsidRPr="00C675D1">
        <w:rPr>
          <w:rFonts w:ascii="Arial" w:hAnsi="Arial" w:cs="Arial"/>
          <w:b/>
          <w:sz w:val="22"/>
          <w:szCs w:val="22"/>
        </w:rPr>
        <w:t xml:space="preserve">Activo: </w:t>
      </w:r>
      <w:r w:rsidRPr="00C675D1">
        <w:rPr>
          <w:rFonts w:ascii="Arial" w:hAnsi="Arial" w:cs="Arial"/>
          <w:sz w:val="22"/>
          <w:szCs w:val="22"/>
        </w:rPr>
        <w:t>Presenta el desglose del Activo bajo NIIF, una vez reclasificado las cuentas, esta información se debe realizar manualmente.</w:t>
      </w:r>
    </w:p>
    <w:p w:rsidR="00695094" w:rsidRPr="00C675D1" w:rsidRDefault="00695094" w:rsidP="00695094">
      <w:pPr>
        <w:pStyle w:val="Prrafodelista"/>
        <w:ind w:left="0"/>
        <w:jc w:val="both"/>
        <w:rPr>
          <w:rFonts w:ascii="Arial" w:hAnsi="Arial" w:cs="Arial"/>
          <w:sz w:val="22"/>
          <w:szCs w:val="22"/>
        </w:rPr>
      </w:pPr>
    </w:p>
    <w:p w:rsidR="00695094" w:rsidRPr="00C675D1" w:rsidRDefault="00695094" w:rsidP="00695094">
      <w:pPr>
        <w:pStyle w:val="Prrafodelista"/>
        <w:ind w:left="0"/>
        <w:jc w:val="both"/>
        <w:rPr>
          <w:rFonts w:ascii="Arial" w:hAnsi="Arial" w:cs="Arial"/>
          <w:sz w:val="22"/>
          <w:szCs w:val="22"/>
        </w:rPr>
      </w:pPr>
      <w:r w:rsidRPr="00C675D1">
        <w:rPr>
          <w:rFonts w:ascii="Arial" w:hAnsi="Arial" w:cs="Arial"/>
          <w:b/>
          <w:sz w:val="22"/>
          <w:szCs w:val="22"/>
        </w:rPr>
        <w:t xml:space="preserve">Pasivo: </w:t>
      </w:r>
      <w:r w:rsidRPr="00C675D1">
        <w:rPr>
          <w:rFonts w:ascii="Arial" w:hAnsi="Arial" w:cs="Arial"/>
          <w:sz w:val="22"/>
          <w:szCs w:val="22"/>
        </w:rPr>
        <w:t>Presenta el desglose del Pasivo bajo NIIF, una vez habiendo reclasificado las cuentas, esta información se debe realizar manualmente.</w:t>
      </w:r>
    </w:p>
    <w:p w:rsidR="00695094" w:rsidRPr="00C675D1" w:rsidRDefault="00695094" w:rsidP="00695094">
      <w:pPr>
        <w:pStyle w:val="Prrafodelista"/>
        <w:ind w:left="0"/>
        <w:jc w:val="both"/>
        <w:rPr>
          <w:rFonts w:ascii="Arial" w:hAnsi="Arial" w:cs="Arial"/>
          <w:sz w:val="22"/>
          <w:szCs w:val="22"/>
        </w:rPr>
      </w:pPr>
    </w:p>
    <w:p w:rsidR="00695094" w:rsidRPr="00C675D1" w:rsidRDefault="00695094" w:rsidP="00695094">
      <w:pPr>
        <w:pStyle w:val="Prrafodelista"/>
        <w:ind w:left="0"/>
        <w:jc w:val="both"/>
        <w:rPr>
          <w:rFonts w:ascii="Arial" w:hAnsi="Arial" w:cs="Arial"/>
          <w:sz w:val="22"/>
          <w:szCs w:val="22"/>
        </w:rPr>
      </w:pPr>
      <w:r w:rsidRPr="00C675D1">
        <w:rPr>
          <w:rFonts w:ascii="Arial" w:hAnsi="Arial" w:cs="Arial"/>
          <w:b/>
          <w:sz w:val="22"/>
          <w:szCs w:val="22"/>
        </w:rPr>
        <w:t xml:space="preserve">Patrimonio: </w:t>
      </w:r>
      <w:r w:rsidRPr="00C675D1">
        <w:rPr>
          <w:rFonts w:ascii="Arial" w:hAnsi="Arial" w:cs="Arial"/>
          <w:sz w:val="22"/>
          <w:szCs w:val="22"/>
        </w:rPr>
        <w:t xml:space="preserve">Presenta el desglose del Patrimonio bajo NIIF, una vez habiendo reclasificado las cuentas, esta información se debe realizar manualmente. </w:t>
      </w:r>
    </w:p>
    <w:p w:rsidR="00695094" w:rsidRPr="00C675D1" w:rsidRDefault="00695094" w:rsidP="00695094">
      <w:pPr>
        <w:pStyle w:val="Prrafodelista"/>
        <w:ind w:left="0"/>
        <w:jc w:val="both"/>
        <w:rPr>
          <w:rFonts w:ascii="Arial" w:hAnsi="Arial" w:cs="Arial"/>
          <w:sz w:val="22"/>
          <w:szCs w:val="22"/>
        </w:rPr>
      </w:pPr>
    </w:p>
    <w:p w:rsidR="00851068" w:rsidRPr="00655E51" w:rsidRDefault="00B04D1C" w:rsidP="00695094">
      <w:pPr>
        <w:numPr>
          <w:ilvl w:val="0"/>
          <w:numId w:val="12"/>
        </w:numPr>
        <w:suppressAutoHyphens w:val="0"/>
        <w:ind w:left="284" w:hanging="284"/>
        <w:jc w:val="both"/>
        <w:rPr>
          <w:b/>
          <w:i w:val="0"/>
          <w:sz w:val="22"/>
          <w:szCs w:val="22"/>
        </w:rPr>
      </w:pPr>
      <w:r w:rsidRPr="00655E51">
        <w:rPr>
          <w:b/>
          <w:i w:val="0"/>
          <w:sz w:val="22"/>
          <w:szCs w:val="22"/>
        </w:rPr>
        <w:t xml:space="preserve">Estado de Situación Financiera de Apertura - </w:t>
      </w:r>
      <w:r w:rsidR="00695094" w:rsidRPr="00655E51">
        <w:rPr>
          <w:b/>
          <w:i w:val="0"/>
          <w:sz w:val="22"/>
          <w:szCs w:val="22"/>
        </w:rPr>
        <w:t>ESFA</w:t>
      </w:r>
    </w:p>
    <w:p w:rsidR="00655E51" w:rsidRDefault="00655E51" w:rsidP="00695094">
      <w:pPr>
        <w:jc w:val="both"/>
        <w:rPr>
          <w:b/>
          <w:i w:val="0"/>
          <w:sz w:val="22"/>
          <w:szCs w:val="22"/>
        </w:rPr>
      </w:pPr>
    </w:p>
    <w:p w:rsidR="00695094" w:rsidRPr="00C675D1" w:rsidRDefault="00655E51" w:rsidP="00695094">
      <w:pPr>
        <w:jc w:val="both"/>
        <w:rPr>
          <w:i w:val="0"/>
          <w:sz w:val="22"/>
          <w:szCs w:val="22"/>
        </w:rPr>
      </w:pPr>
      <w:r w:rsidRPr="00655E51">
        <w:rPr>
          <w:i w:val="0"/>
          <w:sz w:val="22"/>
          <w:szCs w:val="22"/>
        </w:rPr>
        <w:t>Esta hoja traerá</w:t>
      </w:r>
      <w:r>
        <w:rPr>
          <w:b/>
          <w:i w:val="0"/>
          <w:sz w:val="22"/>
          <w:szCs w:val="22"/>
        </w:rPr>
        <w:t xml:space="preserve"> </w:t>
      </w:r>
      <w:r w:rsidRPr="00FB50E4">
        <w:rPr>
          <w:i w:val="0"/>
          <w:sz w:val="22"/>
          <w:szCs w:val="22"/>
        </w:rPr>
        <w:t>a</w:t>
      </w:r>
      <w:r w:rsidR="00695094" w:rsidRPr="00C675D1">
        <w:rPr>
          <w:i w:val="0"/>
          <w:sz w:val="22"/>
          <w:szCs w:val="22"/>
        </w:rPr>
        <w:t>utomáticamente los datos básicos de la hoja de carátula Estado de Situac</w:t>
      </w:r>
      <w:r>
        <w:rPr>
          <w:i w:val="0"/>
          <w:sz w:val="22"/>
          <w:szCs w:val="22"/>
        </w:rPr>
        <w:t xml:space="preserve">ión Financiera (ESFA) bajo NIIF. </w:t>
      </w:r>
    </w:p>
    <w:p w:rsidR="00695094" w:rsidRPr="00C675D1" w:rsidRDefault="00695094" w:rsidP="00695094">
      <w:pPr>
        <w:ind w:left="720" w:hanging="360"/>
        <w:jc w:val="both"/>
        <w:rPr>
          <w:b/>
          <w:i w:val="0"/>
          <w:sz w:val="22"/>
          <w:szCs w:val="22"/>
        </w:rPr>
      </w:pPr>
    </w:p>
    <w:p w:rsidR="00851068" w:rsidRPr="00851068" w:rsidRDefault="00B04D1C" w:rsidP="00695094">
      <w:pPr>
        <w:numPr>
          <w:ilvl w:val="0"/>
          <w:numId w:val="12"/>
        </w:numPr>
        <w:suppressAutoHyphens w:val="0"/>
        <w:ind w:left="284" w:hanging="284"/>
        <w:jc w:val="both"/>
        <w:rPr>
          <w:i w:val="0"/>
          <w:sz w:val="22"/>
          <w:szCs w:val="22"/>
        </w:rPr>
      </w:pPr>
      <w:r w:rsidRPr="00C675D1">
        <w:rPr>
          <w:b/>
          <w:i w:val="0"/>
          <w:sz w:val="22"/>
          <w:szCs w:val="22"/>
        </w:rPr>
        <w:t>Conciliación patrimonial</w:t>
      </w:r>
    </w:p>
    <w:p w:rsidR="00851068" w:rsidRDefault="00851068" w:rsidP="00851068">
      <w:pPr>
        <w:suppressAutoHyphens w:val="0"/>
        <w:jc w:val="both"/>
        <w:rPr>
          <w:b/>
          <w:i w:val="0"/>
          <w:sz w:val="22"/>
          <w:szCs w:val="22"/>
        </w:rPr>
      </w:pPr>
    </w:p>
    <w:p w:rsidR="00695094" w:rsidRPr="00C675D1" w:rsidRDefault="00695094" w:rsidP="00851068">
      <w:pPr>
        <w:suppressAutoHyphens w:val="0"/>
        <w:jc w:val="both"/>
        <w:rPr>
          <w:i w:val="0"/>
          <w:sz w:val="22"/>
          <w:szCs w:val="22"/>
        </w:rPr>
      </w:pPr>
      <w:r w:rsidRPr="00C675D1">
        <w:rPr>
          <w:i w:val="0"/>
          <w:sz w:val="22"/>
          <w:szCs w:val="22"/>
        </w:rPr>
        <w:t xml:space="preserve">En esta hoja las entidades deberán presentar los ajustes que se originan del cambio en la situación financiera al dejar de aplicar los principios colombianos y la aplicación por primera </w:t>
      </w:r>
      <w:r w:rsidRPr="00C675D1">
        <w:rPr>
          <w:i w:val="0"/>
          <w:sz w:val="22"/>
          <w:szCs w:val="22"/>
        </w:rPr>
        <w:lastRenderedPageBreak/>
        <w:t xml:space="preserve">vez de las NIIF; estos ajustes que de conformidad </w:t>
      </w:r>
      <w:r w:rsidR="00703FD3">
        <w:rPr>
          <w:i w:val="0"/>
          <w:sz w:val="22"/>
          <w:szCs w:val="22"/>
        </w:rPr>
        <w:t>con</w:t>
      </w:r>
      <w:r w:rsidRPr="00C675D1">
        <w:rPr>
          <w:i w:val="0"/>
          <w:sz w:val="22"/>
          <w:szCs w:val="22"/>
        </w:rPr>
        <w:t xml:space="preserve"> la NIIF 1 deben reflejarse en el </w:t>
      </w:r>
      <w:r w:rsidR="00FB50E4">
        <w:rPr>
          <w:i w:val="0"/>
          <w:sz w:val="22"/>
          <w:szCs w:val="22"/>
        </w:rPr>
        <w:t xml:space="preserve">ESFA en el </w:t>
      </w:r>
      <w:r w:rsidRPr="00C675D1">
        <w:rPr>
          <w:i w:val="0"/>
          <w:sz w:val="22"/>
          <w:szCs w:val="22"/>
        </w:rPr>
        <w:t>renglón “</w:t>
      </w:r>
      <w:r w:rsidR="009A5844">
        <w:rPr>
          <w:i w:val="0"/>
          <w:sz w:val="22"/>
          <w:szCs w:val="22"/>
        </w:rPr>
        <w:t>R</w:t>
      </w:r>
      <w:r w:rsidR="00655E51">
        <w:rPr>
          <w:i w:val="0"/>
          <w:sz w:val="22"/>
          <w:szCs w:val="22"/>
        </w:rPr>
        <w:t>esultados acumulados</w:t>
      </w:r>
      <w:r w:rsidR="009A5844">
        <w:rPr>
          <w:i w:val="0"/>
          <w:sz w:val="22"/>
          <w:szCs w:val="22"/>
        </w:rPr>
        <w:t xml:space="preserve"> por convergencia a NIIF”</w:t>
      </w:r>
      <w:r w:rsidRPr="00C675D1">
        <w:rPr>
          <w:i w:val="0"/>
          <w:sz w:val="22"/>
          <w:szCs w:val="22"/>
        </w:rPr>
        <w:t xml:space="preserve"> del Patrimonio.</w:t>
      </w:r>
    </w:p>
    <w:p w:rsidR="00695094" w:rsidRPr="00C675D1" w:rsidRDefault="00695094" w:rsidP="00695094">
      <w:pPr>
        <w:ind w:left="360" w:hanging="360"/>
        <w:jc w:val="both"/>
        <w:rPr>
          <w:i w:val="0"/>
          <w:sz w:val="22"/>
          <w:szCs w:val="22"/>
        </w:rPr>
      </w:pPr>
    </w:p>
    <w:p w:rsidR="00695094" w:rsidRPr="00C675D1" w:rsidRDefault="00695094" w:rsidP="00695094">
      <w:pPr>
        <w:jc w:val="both"/>
        <w:rPr>
          <w:i w:val="0"/>
          <w:sz w:val="22"/>
          <w:szCs w:val="22"/>
        </w:rPr>
      </w:pPr>
      <w:r w:rsidRPr="00C675D1">
        <w:rPr>
          <w:i w:val="0"/>
          <w:sz w:val="22"/>
          <w:szCs w:val="22"/>
        </w:rPr>
        <w:t>La Conciliación Patrimonial muestra los siguientes campos, los cuales se encuentran formulados:</w:t>
      </w:r>
    </w:p>
    <w:p w:rsidR="00695094" w:rsidRPr="00C675D1" w:rsidRDefault="00695094" w:rsidP="00695094">
      <w:pPr>
        <w:ind w:left="720" w:hanging="360"/>
        <w:jc w:val="both"/>
        <w:rPr>
          <w:i w:val="0"/>
          <w:sz w:val="22"/>
          <w:szCs w:val="22"/>
        </w:rPr>
      </w:pPr>
    </w:p>
    <w:p w:rsidR="00695094" w:rsidRPr="00C675D1" w:rsidRDefault="00695094" w:rsidP="002940A9">
      <w:pPr>
        <w:numPr>
          <w:ilvl w:val="0"/>
          <w:numId w:val="8"/>
        </w:numPr>
        <w:suppressAutoHyphens w:val="0"/>
        <w:ind w:left="284" w:hanging="284"/>
        <w:jc w:val="both"/>
        <w:rPr>
          <w:i w:val="0"/>
          <w:sz w:val="22"/>
          <w:szCs w:val="22"/>
        </w:rPr>
      </w:pPr>
      <w:r w:rsidRPr="00C675D1">
        <w:rPr>
          <w:i w:val="0"/>
          <w:sz w:val="22"/>
          <w:szCs w:val="22"/>
        </w:rPr>
        <w:t>Saldo del Patrimonio bajo los principios de contabilidad generalmente aceptados locales.</w:t>
      </w:r>
    </w:p>
    <w:p w:rsidR="00695094" w:rsidRPr="00C675D1" w:rsidRDefault="00695094" w:rsidP="002940A9">
      <w:pPr>
        <w:numPr>
          <w:ilvl w:val="0"/>
          <w:numId w:val="8"/>
        </w:numPr>
        <w:suppressAutoHyphens w:val="0"/>
        <w:ind w:left="284" w:hanging="284"/>
        <w:jc w:val="both"/>
        <w:rPr>
          <w:i w:val="0"/>
          <w:sz w:val="22"/>
          <w:szCs w:val="22"/>
        </w:rPr>
      </w:pPr>
      <w:r w:rsidRPr="00C675D1">
        <w:rPr>
          <w:i w:val="0"/>
          <w:sz w:val="22"/>
          <w:szCs w:val="22"/>
        </w:rPr>
        <w:t>Modificación en los Activos</w:t>
      </w:r>
    </w:p>
    <w:p w:rsidR="00695094" w:rsidRPr="00C675D1" w:rsidRDefault="00695094" w:rsidP="002940A9">
      <w:pPr>
        <w:numPr>
          <w:ilvl w:val="0"/>
          <w:numId w:val="8"/>
        </w:numPr>
        <w:suppressAutoHyphens w:val="0"/>
        <w:ind w:left="284" w:hanging="284"/>
        <w:jc w:val="both"/>
        <w:rPr>
          <w:i w:val="0"/>
          <w:sz w:val="22"/>
          <w:szCs w:val="22"/>
        </w:rPr>
      </w:pPr>
      <w:r w:rsidRPr="00C675D1">
        <w:rPr>
          <w:i w:val="0"/>
          <w:sz w:val="22"/>
          <w:szCs w:val="22"/>
        </w:rPr>
        <w:t>Modificación en los Pasivos</w:t>
      </w:r>
    </w:p>
    <w:p w:rsidR="00695094" w:rsidRPr="00C675D1" w:rsidRDefault="00695094" w:rsidP="002940A9">
      <w:pPr>
        <w:numPr>
          <w:ilvl w:val="0"/>
          <w:numId w:val="8"/>
        </w:numPr>
        <w:suppressAutoHyphens w:val="0"/>
        <w:ind w:left="284" w:hanging="284"/>
        <w:jc w:val="both"/>
        <w:rPr>
          <w:i w:val="0"/>
          <w:sz w:val="22"/>
          <w:szCs w:val="22"/>
        </w:rPr>
      </w:pPr>
      <w:r w:rsidRPr="00C675D1">
        <w:rPr>
          <w:i w:val="0"/>
          <w:sz w:val="22"/>
          <w:szCs w:val="22"/>
        </w:rPr>
        <w:t>Modificación en el Patrimonio</w:t>
      </w:r>
    </w:p>
    <w:p w:rsidR="00695094" w:rsidRPr="00C675D1" w:rsidRDefault="00695094" w:rsidP="002940A9">
      <w:pPr>
        <w:numPr>
          <w:ilvl w:val="0"/>
          <w:numId w:val="8"/>
        </w:numPr>
        <w:suppressAutoHyphens w:val="0"/>
        <w:ind w:left="284" w:hanging="284"/>
        <w:jc w:val="both"/>
        <w:rPr>
          <w:i w:val="0"/>
          <w:sz w:val="22"/>
          <w:szCs w:val="22"/>
        </w:rPr>
      </w:pPr>
      <w:r w:rsidRPr="00C675D1">
        <w:rPr>
          <w:i w:val="0"/>
          <w:sz w:val="22"/>
          <w:szCs w:val="22"/>
        </w:rPr>
        <w:t>Total de la Modificación por Convergencia</w:t>
      </w:r>
    </w:p>
    <w:p w:rsidR="00695094" w:rsidRPr="00C675D1" w:rsidRDefault="00695094" w:rsidP="002940A9">
      <w:pPr>
        <w:numPr>
          <w:ilvl w:val="0"/>
          <w:numId w:val="8"/>
        </w:numPr>
        <w:suppressAutoHyphens w:val="0"/>
        <w:ind w:left="284" w:hanging="284"/>
        <w:jc w:val="both"/>
        <w:rPr>
          <w:i w:val="0"/>
          <w:sz w:val="22"/>
          <w:szCs w:val="22"/>
        </w:rPr>
      </w:pPr>
      <w:r w:rsidRPr="00C675D1">
        <w:rPr>
          <w:i w:val="0"/>
          <w:sz w:val="22"/>
          <w:szCs w:val="22"/>
        </w:rPr>
        <w:t>Modificación por Errores</w:t>
      </w:r>
    </w:p>
    <w:p w:rsidR="00695094" w:rsidRPr="00C675D1" w:rsidRDefault="00695094" w:rsidP="002940A9">
      <w:pPr>
        <w:numPr>
          <w:ilvl w:val="0"/>
          <w:numId w:val="8"/>
        </w:numPr>
        <w:suppressAutoHyphens w:val="0"/>
        <w:ind w:left="284" w:hanging="284"/>
        <w:jc w:val="both"/>
        <w:rPr>
          <w:i w:val="0"/>
          <w:sz w:val="22"/>
          <w:szCs w:val="22"/>
        </w:rPr>
      </w:pPr>
      <w:r w:rsidRPr="00C675D1">
        <w:rPr>
          <w:i w:val="0"/>
          <w:sz w:val="22"/>
          <w:szCs w:val="22"/>
        </w:rPr>
        <w:t>Saldo del Patrimonio bajo NIIF.</w:t>
      </w:r>
    </w:p>
    <w:p w:rsidR="00695094" w:rsidRPr="00C675D1" w:rsidRDefault="00695094" w:rsidP="00695094">
      <w:pPr>
        <w:ind w:left="720" w:hanging="360"/>
        <w:jc w:val="both"/>
        <w:rPr>
          <w:i w:val="0"/>
          <w:sz w:val="22"/>
          <w:szCs w:val="22"/>
        </w:rPr>
      </w:pPr>
    </w:p>
    <w:p w:rsidR="00695094" w:rsidRPr="00C675D1" w:rsidRDefault="00695094" w:rsidP="00695094">
      <w:pPr>
        <w:jc w:val="both"/>
        <w:rPr>
          <w:i w:val="0"/>
          <w:sz w:val="22"/>
          <w:szCs w:val="22"/>
        </w:rPr>
      </w:pPr>
      <w:r w:rsidRPr="00C675D1">
        <w:rPr>
          <w:i w:val="0"/>
          <w:sz w:val="22"/>
          <w:szCs w:val="22"/>
        </w:rPr>
        <w:t>La hoja presenta la variación absoluta ($) y relativa (%), con los ajustes que afectan el patrimonio. Es importante mencionar que los saldos de esta conciliación no se deben reportar por su naturaleza, sino como resultado de las disminuciones y aumentos en el patrimonio.</w:t>
      </w:r>
    </w:p>
    <w:p w:rsidR="00695094" w:rsidRPr="00C675D1" w:rsidRDefault="00695094" w:rsidP="00695094">
      <w:pPr>
        <w:ind w:left="720" w:hanging="360"/>
        <w:jc w:val="both"/>
        <w:rPr>
          <w:i w:val="0"/>
          <w:sz w:val="22"/>
          <w:szCs w:val="22"/>
        </w:rPr>
      </w:pPr>
    </w:p>
    <w:p w:rsidR="00695094" w:rsidRPr="00C675D1" w:rsidRDefault="00695094" w:rsidP="00695094">
      <w:pPr>
        <w:jc w:val="both"/>
        <w:rPr>
          <w:i w:val="0"/>
          <w:sz w:val="22"/>
          <w:szCs w:val="22"/>
        </w:rPr>
      </w:pPr>
      <w:r w:rsidRPr="00C675D1">
        <w:rPr>
          <w:i w:val="0"/>
          <w:sz w:val="22"/>
          <w:szCs w:val="22"/>
        </w:rPr>
        <w:t xml:space="preserve">Seguidamente, se presenta un desglose de la modificación en los activos, pasivos y patrimonio, </w:t>
      </w:r>
      <w:r w:rsidRPr="00703FD3">
        <w:rPr>
          <w:i w:val="0"/>
          <w:sz w:val="22"/>
          <w:szCs w:val="22"/>
        </w:rPr>
        <w:t>renglones en los que se deben presentar</w:t>
      </w:r>
      <w:r w:rsidRPr="00C675D1">
        <w:rPr>
          <w:i w:val="0"/>
          <w:sz w:val="22"/>
          <w:szCs w:val="22"/>
        </w:rPr>
        <w:t xml:space="preserve"> los ajustes y eliminaciones realizados y finalmente remitir en una línea el valor total de los incrementos y disminuciones de los activos, pasivos y patrimonio.</w:t>
      </w:r>
    </w:p>
    <w:p w:rsidR="00695094" w:rsidRPr="00C675D1" w:rsidRDefault="00695094" w:rsidP="00695094">
      <w:pPr>
        <w:ind w:hanging="360"/>
        <w:jc w:val="both"/>
        <w:rPr>
          <w:i w:val="0"/>
          <w:sz w:val="22"/>
          <w:szCs w:val="22"/>
        </w:rPr>
      </w:pPr>
    </w:p>
    <w:p w:rsidR="00695094" w:rsidRPr="00C675D1" w:rsidRDefault="00695094" w:rsidP="00695094">
      <w:pPr>
        <w:jc w:val="both"/>
        <w:rPr>
          <w:i w:val="0"/>
          <w:sz w:val="22"/>
          <w:szCs w:val="22"/>
        </w:rPr>
      </w:pPr>
      <w:r w:rsidRPr="00703FD3">
        <w:rPr>
          <w:i w:val="0"/>
          <w:sz w:val="22"/>
          <w:szCs w:val="22"/>
        </w:rPr>
        <w:t>Se agregaron filas adicionales que estarán disponibles en caso de que la entidad requiera hacer uso de un mayor detalle, como complemento a la información de los ajustes reconocidos.</w:t>
      </w:r>
    </w:p>
    <w:p w:rsidR="00695094" w:rsidRPr="00C675D1" w:rsidRDefault="00695094" w:rsidP="00695094">
      <w:pPr>
        <w:ind w:hanging="360"/>
        <w:jc w:val="both"/>
        <w:rPr>
          <w:i w:val="0"/>
          <w:sz w:val="22"/>
          <w:szCs w:val="22"/>
        </w:rPr>
      </w:pPr>
    </w:p>
    <w:p w:rsidR="00695094" w:rsidRPr="00C675D1" w:rsidRDefault="00695094" w:rsidP="00695094">
      <w:pPr>
        <w:jc w:val="both"/>
        <w:rPr>
          <w:i w:val="0"/>
          <w:sz w:val="22"/>
          <w:szCs w:val="22"/>
        </w:rPr>
      </w:pPr>
      <w:r w:rsidRPr="00C675D1">
        <w:rPr>
          <w:i w:val="0"/>
          <w:sz w:val="22"/>
          <w:szCs w:val="22"/>
        </w:rPr>
        <w:t>Finalmente se solicita el detalle del efecto del reconocimiento de errores bajo principios contables locales</w:t>
      </w:r>
      <w:r w:rsidR="003135E1">
        <w:rPr>
          <w:i w:val="0"/>
          <w:sz w:val="22"/>
          <w:szCs w:val="22"/>
        </w:rPr>
        <w:t xml:space="preserve"> y</w:t>
      </w:r>
      <w:r w:rsidR="00F13F44">
        <w:rPr>
          <w:i w:val="0"/>
          <w:sz w:val="22"/>
          <w:szCs w:val="22"/>
        </w:rPr>
        <w:t xml:space="preserve"> </w:t>
      </w:r>
      <w:r w:rsidRPr="00C675D1">
        <w:rPr>
          <w:i w:val="0"/>
          <w:sz w:val="22"/>
          <w:szCs w:val="22"/>
        </w:rPr>
        <w:t xml:space="preserve">el </w:t>
      </w:r>
      <w:r w:rsidR="00FB50E4">
        <w:rPr>
          <w:i w:val="0"/>
          <w:sz w:val="22"/>
          <w:szCs w:val="22"/>
        </w:rPr>
        <w:t xml:space="preserve">valor </w:t>
      </w:r>
      <w:r w:rsidRPr="00C675D1">
        <w:rPr>
          <w:i w:val="0"/>
          <w:sz w:val="22"/>
          <w:szCs w:val="22"/>
        </w:rPr>
        <w:t xml:space="preserve">impacto </w:t>
      </w:r>
      <w:r w:rsidR="00FB50E4">
        <w:rPr>
          <w:i w:val="0"/>
          <w:sz w:val="22"/>
          <w:szCs w:val="22"/>
        </w:rPr>
        <w:t>d</w:t>
      </w:r>
      <w:r w:rsidRPr="00C675D1">
        <w:rPr>
          <w:i w:val="0"/>
          <w:sz w:val="22"/>
          <w:szCs w:val="22"/>
        </w:rPr>
        <w:t>el capital mínimo</w:t>
      </w:r>
      <w:r w:rsidR="00FB50E4">
        <w:rPr>
          <w:i w:val="0"/>
          <w:sz w:val="22"/>
          <w:szCs w:val="22"/>
        </w:rPr>
        <w:t xml:space="preserve"> irreductible establecido en el estatuto.</w:t>
      </w:r>
    </w:p>
    <w:p w:rsidR="00695094" w:rsidRPr="00C675D1" w:rsidRDefault="00695094" w:rsidP="00695094">
      <w:pPr>
        <w:jc w:val="both"/>
        <w:rPr>
          <w:b/>
          <w:i w:val="0"/>
          <w:sz w:val="22"/>
          <w:szCs w:val="22"/>
        </w:rPr>
      </w:pPr>
    </w:p>
    <w:p w:rsidR="00851068" w:rsidRDefault="00B04D1C" w:rsidP="00695094">
      <w:pPr>
        <w:numPr>
          <w:ilvl w:val="0"/>
          <w:numId w:val="12"/>
        </w:numPr>
        <w:suppressAutoHyphens w:val="0"/>
        <w:ind w:left="426" w:hanging="426"/>
        <w:jc w:val="both"/>
        <w:rPr>
          <w:b/>
          <w:i w:val="0"/>
          <w:sz w:val="22"/>
          <w:szCs w:val="22"/>
        </w:rPr>
      </w:pPr>
      <w:r w:rsidRPr="00C675D1">
        <w:rPr>
          <w:b/>
          <w:i w:val="0"/>
          <w:sz w:val="22"/>
          <w:szCs w:val="22"/>
        </w:rPr>
        <w:t>Notas de revelación de información financiera</w:t>
      </w:r>
    </w:p>
    <w:p w:rsidR="00851068" w:rsidRDefault="00851068" w:rsidP="00851068">
      <w:pPr>
        <w:suppressAutoHyphens w:val="0"/>
        <w:jc w:val="both"/>
        <w:rPr>
          <w:i w:val="0"/>
          <w:sz w:val="22"/>
          <w:szCs w:val="22"/>
        </w:rPr>
      </w:pPr>
    </w:p>
    <w:p w:rsidR="00695094" w:rsidRPr="00C675D1" w:rsidRDefault="00695094" w:rsidP="00695094">
      <w:pPr>
        <w:numPr>
          <w:ilvl w:val="0"/>
          <w:numId w:val="7"/>
        </w:numPr>
        <w:suppressAutoHyphens w:val="0"/>
        <w:jc w:val="both"/>
        <w:rPr>
          <w:b/>
          <w:i w:val="0"/>
          <w:sz w:val="22"/>
          <w:szCs w:val="22"/>
        </w:rPr>
      </w:pPr>
      <w:r w:rsidRPr="00C675D1">
        <w:rPr>
          <w:b/>
          <w:i w:val="0"/>
          <w:sz w:val="22"/>
          <w:szCs w:val="22"/>
        </w:rPr>
        <w:t xml:space="preserve">Notas: </w:t>
      </w:r>
      <w:r w:rsidRPr="00C675D1">
        <w:rPr>
          <w:i w:val="0"/>
          <w:sz w:val="22"/>
          <w:szCs w:val="22"/>
        </w:rPr>
        <w:t>En este campo debe diligenciar el número de la Nota, la cual debe cruzar con las cuentas a nivel general presentadas en el correspondiente estado de situación financiera (ESFA).</w:t>
      </w:r>
    </w:p>
    <w:p w:rsidR="00695094" w:rsidRPr="00C675D1" w:rsidRDefault="00695094" w:rsidP="00695094">
      <w:pPr>
        <w:numPr>
          <w:ilvl w:val="0"/>
          <w:numId w:val="7"/>
        </w:numPr>
        <w:suppressAutoHyphens w:val="0"/>
        <w:jc w:val="both"/>
        <w:rPr>
          <w:b/>
          <w:i w:val="0"/>
          <w:sz w:val="22"/>
          <w:szCs w:val="22"/>
        </w:rPr>
      </w:pPr>
      <w:r w:rsidRPr="00C675D1">
        <w:rPr>
          <w:b/>
          <w:i w:val="0"/>
          <w:sz w:val="22"/>
          <w:szCs w:val="22"/>
        </w:rPr>
        <w:t xml:space="preserve">Activos, Pasivos y Patrimonio: </w:t>
      </w:r>
      <w:r w:rsidRPr="00C675D1">
        <w:rPr>
          <w:i w:val="0"/>
          <w:sz w:val="22"/>
          <w:szCs w:val="22"/>
        </w:rPr>
        <w:t>En este campo se hace referencia a cada una de las partidas que conforman el balance, por cada una de las clasificaciones.</w:t>
      </w:r>
    </w:p>
    <w:p w:rsidR="00695094" w:rsidRPr="00C675D1" w:rsidRDefault="00695094" w:rsidP="00695094">
      <w:pPr>
        <w:numPr>
          <w:ilvl w:val="0"/>
          <w:numId w:val="7"/>
        </w:numPr>
        <w:suppressAutoHyphens w:val="0"/>
        <w:jc w:val="both"/>
        <w:rPr>
          <w:b/>
          <w:i w:val="0"/>
          <w:sz w:val="22"/>
          <w:szCs w:val="22"/>
        </w:rPr>
      </w:pPr>
      <w:r w:rsidRPr="00C675D1">
        <w:rPr>
          <w:b/>
          <w:i w:val="0"/>
          <w:sz w:val="22"/>
          <w:szCs w:val="22"/>
        </w:rPr>
        <w:t xml:space="preserve">Saldo NIIF a 01/01/2014: </w:t>
      </w:r>
      <w:r w:rsidRPr="00C675D1">
        <w:rPr>
          <w:i w:val="0"/>
          <w:sz w:val="22"/>
          <w:szCs w:val="22"/>
        </w:rPr>
        <w:t>Este saldo es traído de la hoja de situación financiera de apertura.</w:t>
      </w:r>
    </w:p>
    <w:p w:rsidR="00695094" w:rsidRPr="00C675D1" w:rsidRDefault="00695094" w:rsidP="00695094">
      <w:pPr>
        <w:numPr>
          <w:ilvl w:val="0"/>
          <w:numId w:val="7"/>
        </w:numPr>
        <w:suppressAutoHyphens w:val="0"/>
        <w:jc w:val="both"/>
        <w:rPr>
          <w:b/>
          <w:i w:val="0"/>
          <w:sz w:val="22"/>
          <w:szCs w:val="22"/>
        </w:rPr>
      </w:pPr>
      <w:r w:rsidRPr="00C675D1">
        <w:rPr>
          <w:b/>
          <w:i w:val="0"/>
          <w:sz w:val="22"/>
          <w:szCs w:val="22"/>
        </w:rPr>
        <w:t xml:space="preserve">Políticas: </w:t>
      </w:r>
      <w:r w:rsidRPr="00C675D1">
        <w:rPr>
          <w:i w:val="0"/>
          <w:sz w:val="22"/>
          <w:szCs w:val="22"/>
        </w:rPr>
        <w:t>La entidad debe diligenciar cada una de las políticas correspondientes de acuerdo con lo establecido en la</w:t>
      </w:r>
      <w:r w:rsidR="003135E1">
        <w:rPr>
          <w:i w:val="0"/>
          <w:sz w:val="22"/>
          <w:szCs w:val="22"/>
        </w:rPr>
        <w:t>s</w:t>
      </w:r>
      <w:r w:rsidRPr="00C675D1">
        <w:rPr>
          <w:i w:val="0"/>
          <w:sz w:val="22"/>
          <w:szCs w:val="22"/>
        </w:rPr>
        <w:t xml:space="preserve"> Normas Internacionales de Información Financiera - NIIF, en especial lo dispuesto en la NIC 8 y la NIIF 1, incluidas las excepciones y las exenciones</w:t>
      </w:r>
      <w:r w:rsidR="002A06D0">
        <w:rPr>
          <w:i w:val="0"/>
          <w:sz w:val="22"/>
          <w:szCs w:val="22"/>
        </w:rPr>
        <w:t xml:space="preserve">, </w:t>
      </w:r>
      <w:r w:rsidR="002A06D0" w:rsidRPr="00C675D1">
        <w:rPr>
          <w:i w:val="0"/>
          <w:sz w:val="22"/>
          <w:szCs w:val="22"/>
        </w:rPr>
        <w:t>sus diversos impactos en el balance de apertura y las mediciones iniciales y posteriores, así como las repercusiones que esta situación tendría en la entidad al aplicar dicho estándar internacional</w:t>
      </w:r>
      <w:r w:rsidR="002A06D0">
        <w:rPr>
          <w:i w:val="0"/>
          <w:sz w:val="22"/>
          <w:szCs w:val="22"/>
        </w:rPr>
        <w:t>.</w:t>
      </w:r>
    </w:p>
    <w:p w:rsidR="00695094" w:rsidRPr="00C675D1" w:rsidRDefault="00695094" w:rsidP="00695094">
      <w:pPr>
        <w:numPr>
          <w:ilvl w:val="0"/>
          <w:numId w:val="7"/>
        </w:numPr>
        <w:suppressAutoHyphens w:val="0"/>
        <w:jc w:val="both"/>
        <w:rPr>
          <w:b/>
          <w:i w:val="0"/>
          <w:sz w:val="22"/>
          <w:szCs w:val="22"/>
        </w:rPr>
      </w:pPr>
      <w:r w:rsidRPr="00C675D1">
        <w:rPr>
          <w:b/>
          <w:i w:val="0"/>
          <w:sz w:val="22"/>
          <w:szCs w:val="22"/>
        </w:rPr>
        <w:t>Detalle de la</w:t>
      </w:r>
      <w:r w:rsidR="003605C6">
        <w:rPr>
          <w:b/>
          <w:i w:val="0"/>
          <w:sz w:val="22"/>
          <w:szCs w:val="22"/>
        </w:rPr>
        <w:t>s</w:t>
      </w:r>
      <w:r w:rsidRPr="00C675D1">
        <w:rPr>
          <w:b/>
          <w:i w:val="0"/>
          <w:sz w:val="22"/>
          <w:szCs w:val="22"/>
        </w:rPr>
        <w:t xml:space="preserve"> Nota</w:t>
      </w:r>
      <w:r w:rsidR="003605C6">
        <w:rPr>
          <w:b/>
          <w:i w:val="0"/>
          <w:sz w:val="22"/>
          <w:szCs w:val="22"/>
        </w:rPr>
        <w:t>s</w:t>
      </w:r>
      <w:r w:rsidRPr="00C675D1">
        <w:rPr>
          <w:b/>
          <w:i w:val="0"/>
          <w:sz w:val="22"/>
          <w:szCs w:val="22"/>
        </w:rPr>
        <w:t xml:space="preserve">: </w:t>
      </w:r>
      <w:r w:rsidR="002A06D0" w:rsidRPr="00C675D1">
        <w:rPr>
          <w:i w:val="0"/>
          <w:sz w:val="22"/>
          <w:szCs w:val="22"/>
        </w:rPr>
        <w:t>Las notas tienen como objetivo evidenciar el desglose de cada una de las operaciones y rubros de la entidad y como su nombre lo indica</w:t>
      </w:r>
      <w:r w:rsidR="002A06D0">
        <w:rPr>
          <w:i w:val="0"/>
          <w:sz w:val="22"/>
          <w:szCs w:val="22"/>
        </w:rPr>
        <w:t>,</w:t>
      </w:r>
      <w:r w:rsidR="002A06D0" w:rsidRPr="00C675D1">
        <w:rPr>
          <w:i w:val="0"/>
          <w:sz w:val="22"/>
          <w:szCs w:val="22"/>
        </w:rPr>
        <w:t xml:space="preserve"> son las revelaciones de las decisiones que las entidades tomaron para la convergencia</w:t>
      </w:r>
      <w:r w:rsidR="002A06D0">
        <w:rPr>
          <w:i w:val="0"/>
          <w:sz w:val="22"/>
          <w:szCs w:val="22"/>
        </w:rPr>
        <w:t xml:space="preserve">, por tanto, se debe informar </w:t>
      </w:r>
      <w:r w:rsidR="002A06D0" w:rsidRPr="00C675D1">
        <w:rPr>
          <w:i w:val="0"/>
          <w:sz w:val="22"/>
          <w:szCs w:val="22"/>
        </w:rPr>
        <w:t>de una manera breve y clara cada un</w:t>
      </w:r>
      <w:r w:rsidR="003135E1">
        <w:rPr>
          <w:i w:val="0"/>
          <w:sz w:val="22"/>
          <w:szCs w:val="22"/>
        </w:rPr>
        <w:t>o</w:t>
      </w:r>
      <w:r w:rsidR="002A06D0" w:rsidRPr="00C675D1">
        <w:rPr>
          <w:i w:val="0"/>
          <w:sz w:val="22"/>
          <w:szCs w:val="22"/>
        </w:rPr>
        <w:t xml:space="preserve"> de los ajustes y reclasificaciones</w:t>
      </w:r>
      <w:r w:rsidRPr="00C675D1">
        <w:rPr>
          <w:i w:val="0"/>
          <w:sz w:val="22"/>
          <w:szCs w:val="22"/>
        </w:rPr>
        <w:t xml:space="preserve">, con el fin de que exista una debida trazabilidad sobre el proceso </w:t>
      </w:r>
      <w:r w:rsidRPr="00C675D1">
        <w:rPr>
          <w:i w:val="0"/>
          <w:sz w:val="22"/>
          <w:szCs w:val="22"/>
        </w:rPr>
        <w:lastRenderedPageBreak/>
        <w:t xml:space="preserve">realizado para la presentación del ESFA, la entidad deberá remitir en la casilla correspondiente la conciliación y explicación de todos los ajustes, errores y reclasificaciones realizados por grupos homogéneos de los saldos bajo NIIF, incluyendo los impactos de la convergencia hacia los estándares internacionales. </w:t>
      </w:r>
    </w:p>
    <w:p w:rsidR="00695094" w:rsidRPr="00C675D1" w:rsidRDefault="00695094" w:rsidP="00695094">
      <w:pPr>
        <w:jc w:val="both"/>
        <w:rPr>
          <w:b/>
          <w:i w:val="0"/>
          <w:sz w:val="22"/>
          <w:szCs w:val="22"/>
        </w:rPr>
      </w:pPr>
    </w:p>
    <w:p w:rsidR="00695094" w:rsidRPr="00C675D1" w:rsidRDefault="00504123" w:rsidP="00695094">
      <w:pPr>
        <w:numPr>
          <w:ilvl w:val="0"/>
          <w:numId w:val="12"/>
        </w:numPr>
        <w:suppressAutoHyphens w:val="0"/>
        <w:ind w:hanging="720"/>
        <w:jc w:val="both"/>
        <w:rPr>
          <w:b/>
          <w:i w:val="0"/>
          <w:sz w:val="22"/>
          <w:szCs w:val="22"/>
        </w:rPr>
      </w:pPr>
      <w:r>
        <w:rPr>
          <w:b/>
          <w:i w:val="0"/>
          <w:sz w:val="22"/>
          <w:szCs w:val="22"/>
        </w:rPr>
        <w:t>Relación de Solvencia</w:t>
      </w:r>
    </w:p>
    <w:p w:rsidR="00695094" w:rsidRPr="00C675D1" w:rsidRDefault="00695094" w:rsidP="00695094">
      <w:pPr>
        <w:jc w:val="both"/>
        <w:rPr>
          <w:b/>
          <w:i w:val="0"/>
          <w:sz w:val="22"/>
          <w:szCs w:val="22"/>
        </w:rPr>
      </w:pPr>
    </w:p>
    <w:p w:rsidR="00695094" w:rsidRPr="00C675D1" w:rsidRDefault="003135E1" w:rsidP="002C71CB">
      <w:pPr>
        <w:jc w:val="both"/>
        <w:rPr>
          <w:i w:val="0"/>
          <w:sz w:val="22"/>
          <w:szCs w:val="22"/>
        </w:rPr>
      </w:pPr>
      <w:r>
        <w:rPr>
          <w:i w:val="0"/>
          <w:sz w:val="22"/>
          <w:szCs w:val="22"/>
        </w:rPr>
        <w:t>E</w:t>
      </w:r>
      <w:r w:rsidR="00695094" w:rsidRPr="00C675D1">
        <w:rPr>
          <w:i w:val="0"/>
          <w:sz w:val="22"/>
          <w:szCs w:val="22"/>
        </w:rPr>
        <w:t xml:space="preserve">sta hoja </w:t>
      </w:r>
      <w:r w:rsidR="00255A0A">
        <w:rPr>
          <w:i w:val="0"/>
          <w:sz w:val="22"/>
          <w:szCs w:val="22"/>
        </w:rPr>
        <w:t xml:space="preserve">solo será diligenciada por las cooperativas de ahorro y crédito o las </w:t>
      </w:r>
      <w:proofErr w:type="spellStart"/>
      <w:r w:rsidR="00255A0A">
        <w:rPr>
          <w:i w:val="0"/>
          <w:sz w:val="22"/>
          <w:szCs w:val="22"/>
        </w:rPr>
        <w:t>multiactivas</w:t>
      </w:r>
      <w:proofErr w:type="spellEnd"/>
      <w:r w:rsidR="00255A0A">
        <w:rPr>
          <w:i w:val="0"/>
          <w:sz w:val="22"/>
          <w:szCs w:val="22"/>
        </w:rPr>
        <w:t xml:space="preserve"> o integrales con</w:t>
      </w:r>
      <w:r w:rsidR="002C71CB">
        <w:rPr>
          <w:i w:val="0"/>
          <w:sz w:val="22"/>
          <w:szCs w:val="22"/>
        </w:rPr>
        <w:t xml:space="preserve"> secció</w:t>
      </w:r>
      <w:r w:rsidR="00255A0A">
        <w:rPr>
          <w:i w:val="0"/>
          <w:sz w:val="22"/>
          <w:szCs w:val="22"/>
        </w:rPr>
        <w:t>n de ahorro y cr</w:t>
      </w:r>
      <w:r w:rsidR="002C71CB">
        <w:rPr>
          <w:i w:val="0"/>
          <w:sz w:val="22"/>
          <w:szCs w:val="22"/>
        </w:rPr>
        <w:t>édit</w:t>
      </w:r>
      <w:r w:rsidR="00255A0A">
        <w:rPr>
          <w:i w:val="0"/>
          <w:sz w:val="22"/>
          <w:szCs w:val="22"/>
        </w:rPr>
        <w:t>o</w:t>
      </w:r>
      <w:r w:rsidR="002C71CB">
        <w:rPr>
          <w:i w:val="0"/>
          <w:sz w:val="22"/>
          <w:szCs w:val="22"/>
        </w:rPr>
        <w:t xml:space="preserve">, en cumplimiento de lo establecido en el Decreto 1840-97, para efectos de </w:t>
      </w:r>
      <w:r w:rsidR="00695094" w:rsidRPr="00C675D1">
        <w:rPr>
          <w:i w:val="0"/>
          <w:sz w:val="22"/>
          <w:szCs w:val="22"/>
        </w:rPr>
        <w:t xml:space="preserve">remitir el resultado de los impactos que conlleva la aplicación por primera vez de las NIIF. </w:t>
      </w:r>
    </w:p>
    <w:p w:rsidR="00695094" w:rsidRPr="00C675D1" w:rsidRDefault="00695094" w:rsidP="00695094">
      <w:pPr>
        <w:jc w:val="both"/>
        <w:rPr>
          <w:i w:val="0"/>
          <w:sz w:val="22"/>
          <w:szCs w:val="22"/>
        </w:rPr>
      </w:pPr>
      <w:r w:rsidRPr="00C675D1">
        <w:rPr>
          <w:i w:val="0"/>
          <w:sz w:val="22"/>
          <w:szCs w:val="22"/>
        </w:rPr>
        <w:t xml:space="preserve"> </w:t>
      </w:r>
    </w:p>
    <w:p w:rsidR="00695094" w:rsidRPr="00C675D1" w:rsidRDefault="00695094" w:rsidP="00695094">
      <w:pPr>
        <w:ind w:left="720"/>
        <w:jc w:val="both"/>
        <w:rPr>
          <w:i w:val="0"/>
          <w:sz w:val="22"/>
          <w:szCs w:val="22"/>
        </w:rPr>
      </w:pPr>
    </w:p>
    <w:p w:rsidR="00695094" w:rsidRPr="00C675D1" w:rsidRDefault="00695094" w:rsidP="00695094">
      <w:pPr>
        <w:jc w:val="both"/>
        <w:rPr>
          <w:i w:val="0"/>
          <w:sz w:val="22"/>
          <w:szCs w:val="22"/>
        </w:rPr>
      </w:pPr>
    </w:p>
    <w:p w:rsidR="00695094" w:rsidRPr="00C675D1" w:rsidRDefault="00695094" w:rsidP="00695094">
      <w:pPr>
        <w:rPr>
          <w:i w:val="0"/>
          <w:sz w:val="22"/>
          <w:szCs w:val="22"/>
        </w:rPr>
      </w:pPr>
    </w:p>
    <w:p w:rsidR="00695094" w:rsidRPr="00695094" w:rsidRDefault="00695094" w:rsidP="002061C0">
      <w:pPr>
        <w:rPr>
          <w:i w:val="0"/>
          <w:sz w:val="18"/>
          <w:szCs w:val="18"/>
        </w:rPr>
      </w:pPr>
    </w:p>
    <w:p w:rsidR="00695094" w:rsidRDefault="00695094" w:rsidP="002061C0">
      <w:pPr>
        <w:rPr>
          <w:i w:val="0"/>
          <w:sz w:val="18"/>
          <w:szCs w:val="18"/>
          <w:lang w:val="es-MX"/>
        </w:rPr>
      </w:pPr>
    </w:p>
    <w:p w:rsidR="003F56C0" w:rsidRDefault="003F56C0" w:rsidP="002061C0">
      <w:pPr>
        <w:rPr>
          <w:i w:val="0"/>
          <w:sz w:val="18"/>
          <w:szCs w:val="18"/>
          <w:lang w:val="es-MX"/>
        </w:rPr>
      </w:pPr>
    </w:p>
    <w:p w:rsidR="003F56C0" w:rsidRDefault="003F56C0" w:rsidP="002061C0">
      <w:pPr>
        <w:rPr>
          <w:i w:val="0"/>
          <w:sz w:val="18"/>
          <w:szCs w:val="18"/>
          <w:lang w:val="es-MX"/>
        </w:rPr>
      </w:pPr>
    </w:p>
    <w:p w:rsidR="003F56C0" w:rsidRDefault="003F56C0" w:rsidP="002061C0">
      <w:pPr>
        <w:rPr>
          <w:i w:val="0"/>
          <w:sz w:val="18"/>
          <w:szCs w:val="18"/>
          <w:lang w:val="es-MX"/>
        </w:rPr>
      </w:pPr>
    </w:p>
    <w:p w:rsidR="003F56C0" w:rsidRDefault="003F56C0" w:rsidP="002061C0">
      <w:pPr>
        <w:rPr>
          <w:i w:val="0"/>
          <w:sz w:val="18"/>
          <w:szCs w:val="18"/>
          <w:lang w:val="es-MX"/>
        </w:rPr>
      </w:pPr>
    </w:p>
    <w:p w:rsidR="003F56C0" w:rsidRDefault="003F56C0" w:rsidP="002061C0">
      <w:pPr>
        <w:rPr>
          <w:i w:val="0"/>
          <w:sz w:val="18"/>
          <w:szCs w:val="18"/>
          <w:lang w:val="es-MX"/>
        </w:rPr>
      </w:pPr>
    </w:p>
    <w:p w:rsidR="003F56C0" w:rsidRDefault="003F56C0" w:rsidP="002061C0">
      <w:pPr>
        <w:rPr>
          <w:i w:val="0"/>
          <w:sz w:val="18"/>
          <w:szCs w:val="18"/>
          <w:lang w:val="es-MX"/>
        </w:rPr>
      </w:pPr>
    </w:p>
    <w:p w:rsidR="003F56C0" w:rsidRDefault="003F56C0" w:rsidP="002061C0">
      <w:pPr>
        <w:rPr>
          <w:i w:val="0"/>
          <w:sz w:val="18"/>
          <w:szCs w:val="18"/>
          <w:lang w:val="es-MX"/>
        </w:rPr>
      </w:pPr>
    </w:p>
    <w:sectPr w:rsidR="003F56C0" w:rsidSect="003F56C0">
      <w:headerReference w:type="default" r:id="rId10"/>
      <w:footerReference w:type="default" r:id="rId11"/>
      <w:headerReference w:type="first" r:id="rId12"/>
      <w:footerReference w:type="first" r:id="rId13"/>
      <w:footnotePr>
        <w:pos w:val="beneathText"/>
      </w:footnotePr>
      <w:pgSz w:w="12242" w:h="15842" w:code="1"/>
      <w:pgMar w:top="1525" w:right="1418" w:bottom="1134" w:left="1701" w:header="73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DC" w:rsidRDefault="009B73DC">
      <w:r>
        <w:separator/>
      </w:r>
    </w:p>
  </w:endnote>
  <w:endnote w:type="continuationSeparator" w:id="0">
    <w:p w:rsidR="009B73DC" w:rsidRDefault="009B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B6" w:rsidRDefault="00B95FB6" w:rsidP="00B95FB6">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ECONOMÍA  SOLIDARIA</w:t>
      </w:r>
    </w:smartTag>
  </w:p>
  <w:p w:rsidR="00B95FB6" w:rsidRDefault="006F05C7" w:rsidP="00B95FB6">
    <w:pPr>
      <w:pStyle w:val="Piedepgina"/>
      <w:spacing w:line="40" w:lineRule="atLeast"/>
      <w:jc w:val="center"/>
    </w:pPr>
    <w:r>
      <w:rPr>
        <w:noProof/>
        <w:lang w:eastAsia="es-CO"/>
      </w:rPr>
      <w:drawing>
        <wp:inline distT="0" distB="0" distL="0" distR="0">
          <wp:extent cx="4572000" cy="28575"/>
          <wp:effectExtent l="19050" t="0" r="0" b="0"/>
          <wp:docPr id="1" name="Imagen 1"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pic:cNvPicPr preferRelativeResize="0">
                    <a:picLocks noChangeArrowheads="1"/>
                  </pic:cNvPicPr>
                </pic:nvPicPr>
                <pic:blipFill>
                  <a:blip r:embed="rId1"/>
                  <a:srcRect/>
                  <a:stretch>
                    <a:fillRect/>
                  </a:stretch>
                </pic:blipFill>
                <pic:spPr bwMode="auto">
                  <a:xfrm>
                    <a:off x="0" y="0"/>
                    <a:ext cx="4572000" cy="28575"/>
                  </a:xfrm>
                  <a:prstGeom prst="rect">
                    <a:avLst/>
                  </a:prstGeom>
                  <a:noFill/>
                  <a:ln w="9525">
                    <a:noFill/>
                    <a:miter lim="800000"/>
                    <a:headEnd/>
                    <a:tailEnd/>
                  </a:ln>
                </pic:spPr>
              </pic:pic>
            </a:graphicData>
          </a:graphic>
        </wp:inline>
      </w:drawing>
    </w:r>
  </w:p>
  <w:p w:rsidR="00B95FB6" w:rsidRDefault="00B95FB6" w:rsidP="00B95FB6">
    <w:pPr>
      <w:pStyle w:val="Piedepgina"/>
      <w:spacing w:line="40" w:lineRule="atLeast"/>
      <w:jc w:val="center"/>
      <w:rPr>
        <w:sz w:val="6"/>
        <w:szCs w:val="6"/>
      </w:rPr>
    </w:pPr>
  </w:p>
  <w:p w:rsidR="000C2DBB" w:rsidRPr="00262163" w:rsidRDefault="00B95FB6" w:rsidP="00B95FB6">
    <w:pPr>
      <w:pStyle w:val="Piedepgina"/>
      <w:spacing w:line="0" w:lineRule="atLeast"/>
      <w:jc w:val="center"/>
    </w:pPr>
    <w:r>
      <w:rPr>
        <w:i w:val="0"/>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007" w:rsidRPr="00C65DDC" w:rsidRDefault="00222BAF" w:rsidP="00800007">
    <w:pPr>
      <w:pStyle w:val="Piedepgina"/>
      <w:rPr>
        <w:sz w:val="16"/>
        <w:szCs w:val="16"/>
      </w:rPr>
    </w:pPr>
    <w:r>
      <w:rPr>
        <w:noProof/>
        <w:lang w:eastAsia="es-CO"/>
      </w:rPr>
      <w:drawing>
        <wp:anchor distT="0" distB="0" distL="114300" distR="114300" simplePos="0" relativeHeight="251658752" behindDoc="0" locked="0" layoutInCell="1" allowOverlap="1" wp14:anchorId="09A816C5" wp14:editId="107E4BF3">
          <wp:simplePos x="0" y="0"/>
          <wp:positionH relativeFrom="column">
            <wp:posOffset>0</wp:posOffset>
          </wp:positionH>
          <wp:positionV relativeFrom="paragraph">
            <wp:posOffset>11430</wp:posOffset>
          </wp:positionV>
          <wp:extent cx="5589270" cy="62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srcRect/>
                  <a:stretch>
                    <a:fillRect/>
                  </a:stretch>
                </pic:blipFill>
                <pic:spPr bwMode="auto">
                  <a:xfrm>
                    <a:off x="0" y="0"/>
                    <a:ext cx="5589270" cy="62865"/>
                  </a:xfrm>
                  <a:prstGeom prst="rect">
                    <a:avLst/>
                  </a:prstGeom>
                  <a:noFill/>
                  <a:ln w="9525">
                    <a:noFill/>
                    <a:miter lim="800000"/>
                    <a:headEnd/>
                    <a:tailEnd/>
                  </a:ln>
                </pic:spPr>
              </pic:pic>
            </a:graphicData>
          </a:graphic>
        </wp:anchor>
      </w:drawing>
    </w:r>
    <w:r w:rsidR="00800007">
      <w:t xml:space="preserve">    </w:t>
    </w:r>
  </w:p>
  <w:p w:rsidR="00A6677F" w:rsidRPr="00C65DDC" w:rsidRDefault="00A6677F" w:rsidP="00222BAF">
    <w:pPr>
      <w:pStyle w:val="Piedepgina"/>
      <w:jc w:val="right"/>
      <w:rPr>
        <w:sz w:val="16"/>
        <w:szCs w:val="16"/>
      </w:rPr>
    </w:pPr>
    <w:r>
      <w:t xml:space="preserve">   </w:t>
    </w:r>
    <w:r w:rsidR="00222BAF" w:rsidRPr="00794384">
      <w:rPr>
        <w:sz w:val="12"/>
        <w:szCs w:val="12"/>
      </w:rPr>
      <w:t>V_OAPS-F72013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DC" w:rsidRDefault="009B73DC">
      <w:r>
        <w:separator/>
      </w:r>
    </w:p>
  </w:footnote>
  <w:footnote w:type="continuationSeparator" w:id="0">
    <w:p w:rsidR="009B73DC" w:rsidRDefault="009B73DC">
      <w:r>
        <w:continuationSeparator/>
      </w:r>
    </w:p>
  </w:footnote>
  <w:footnote w:id="1">
    <w:p w:rsidR="00F13F44" w:rsidRPr="00F13F44" w:rsidRDefault="00F13F44">
      <w:pPr>
        <w:pStyle w:val="Textonotapie"/>
        <w:rPr>
          <w:i w:val="0"/>
          <w:sz w:val="16"/>
          <w:szCs w:val="16"/>
        </w:rPr>
      </w:pPr>
      <w:r>
        <w:rPr>
          <w:rStyle w:val="Refdenotaalpie"/>
        </w:rPr>
        <w:footnoteRef/>
      </w:r>
      <w:r>
        <w:t xml:space="preserve"> </w:t>
      </w:r>
      <w:r>
        <w:rPr>
          <w:bCs/>
          <w:i w:val="0"/>
          <w:sz w:val="16"/>
          <w:szCs w:val="16"/>
        </w:rPr>
        <w:t>P</w:t>
      </w:r>
      <w:r w:rsidRPr="00F13F44">
        <w:rPr>
          <w:bCs/>
          <w:i w:val="0"/>
          <w:sz w:val="16"/>
          <w:szCs w:val="16"/>
        </w:rPr>
        <w:t>rincipios de contabilidad generalmente aceptados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BB" w:rsidRPr="007B6427" w:rsidRDefault="003F56C0">
    <w:pPr>
      <w:ind w:right="-59"/>
      <w:rPr>
        <w:sz w:val="18"/>
        <w:szCs w:val="18"/>
      </w:rPr>
    </w:pPr>
    <w:r>
      <w:rPr>
        <w:bCs/>
        <w:sz w:val="18"/>
        <w:szCs w:val="18"/>
        <w:lang w:val="es-ES_tradnl"/>
      </w:rPr>
      <w:t>4</w:t>
    </w:r>
    <w:r w:rsidR="000C2DBB" w:rsidRPr="007B6427">
      <w:rPr>
        <w:bCs/>
        <w:sz w:val="18"/>
        <w:szCs w:val="18"/>
        <w:lang w:val="es-ES_tradnl"/>
      </w:rPr>
      <w:t xml:space="preserve">00  </w:t>
    </w:r>
    <w:r w:rsidR="00921243">
      <w:rPr>
        <w:bCs/>
        <w:sz w:val="18"/>
        <w:szCs w:val="18"/>
        <w:lang w:val="es-ES_tradnl"/>
      </w:rPr>
      <w:t xml:space="preserve">- </w:t>
    </w:r>
    <w:r w:rsidR="002061C0">
      <w:rPr>
        <w:bCs/>
        <w:sz w:val="18"/>
        <w:szCs w:val="18"/>
        <w:lang w:val="es-ES_tradnl"/>
      </w:rPr>
      <w:t>Circular</w:t>
    </w:r>
    <w:r w:rsidR="003A053B">
      <w:rPr>
        <w:bCs/>
        <w:sz w:val="18"/>
        <w:szCs w:val="18"/>
        <w:lang w:val="es-ES_tradnl"/>
      </w:rPr>
      <w:t xml:space="preserve"> </w:t>
    </w:r>
    <w:r>
      <w:rPr>
        <w:bCs/>
        <w:sz w:val="18"/>
        <w:szCs w:val="18"/>
        <w:lang w:val="es-ES_tradnl"/>
      </w:rPr>
      <w:t>Interna</w:t>
    </w:r>
    <w:r w:rsidR="00C45CFC">
      <w:rPr>
        <w:bCs/>
        <w:sz w:val="18"/>
        <w:szCs w:val="18"/>
        <w:lang w:val="es-ES_tradnl"/>
      </w:rPr>
      <w:t xml:space="preserve"> </w:t>
    </w:r>
    <w:r w:rsidR="003A053B">
      <w:rPr>
        <w:bCs/>
        <w:sz w:val="18"/>
        <w:szCs w:val="18"/>
        <w:lang w:val="es-ES_tradnl"/>
      </w:rPr>
      <w:t>No. 00</w:t>
    </w:r>
    <w:r w:rsidR="00E757CF">
      <w:rPr>
        <w:bCs/>
        <w:sz w:val="18"/>
        <w:szCs w:val="18"/>
        <w:lang w:val="es-ES_tradnl"/>
      </w:rPr>
      <w:t>0</w:t>
    </w:r>
    <w:r w:rsidR="00921243">
      <w:rPr>
        <w:iCs/>
        <w:sz w:val="18"/>
        <w:szCs w:val="18"/>
        <w:lang w:val="es-MX"/>
      </w:rPr>
      <w:tab/>
    </w:r>
    <w:r w:rsidR="00921243">
      <w:rPr>
        <w:iCs/>
        <w:sz w:val="18"/>
        <w:szCs w:val="18"/>
        <w:lang w:val="es-MX"/>
      </w:rPr>
      <w:tab/>
    </w:r>
    <w:r w:rsidR="00921243">
      <w:rPr>
        <w:iCs/>
        <w:sz w:val="18"/>
        <w:szCs w:val="18"/>
        <w:lang w:val="es-MX"/>
      </w:rPr>
      <w:tab/>
    </w:r>
    <w:r w:rsidR="00921243">
      <w:rPr>
        <w:iCs/>
        <w:sz w:val="18"/>
        <w:szCs w:val="18"/>
        <w:lang w:val="es-MX"/>
      </w:rPr>
      <w:tab/>
    </w:r>
    <w:r w:rsidR="00921243">
      <w:rPr>
        <w:iCs/>
        <w:sz w:val="18"/>
        <w:szCs w:val="18"/>
        <w:lang w:val="es-MX"/>
      </w:rPr>
      <w:tab/>
    </w:r>
    <w:r w:rsidR="00921243">
      <w:rPr>
        <w:iCs/>
        <w:sz w:val="18"/>
        <w:szCs w:val="18"/>
        <w:lang w:val="es-MX"/>
      </w:rPr>
      <w:tab/>
    </w:r>
    <w:r w:rsidR="00921243">
      <w:rPr>
        <w:iCs/>
        <w:sz w:val="18"/>
        <w:szCs w:val="18"/>
        <w:lang w:val="es-MX"/>
      </w:rPr>
      <w:tab/>
    </w:r>
    <w:r w:rsidR="00921243">
      <w:rPr>
        <w:iCs/>
        <w:sz w:val="18"/>
        <w:szCs w:val="18"/>
        <w:lang w:val="es-MX"/>
      </w:rPr>
      <w:tab/>
    </w:r>
    <w:r w:rsidR="004019A9" w:rsidRPr="007B6427">
      <w:rPr>
        <w:rStyle w:val="Nmerodepgina"/>
        <w:iCs/>
        <w:sz w:val="18"/>
        <w:szCs w:val="18"/>
      </w:rPr>
      <w:t xml:space="preserve">Página </w:t>
    </w:r>
    <w:r w:rsidR="004019A9" w:rsidRPr="007B6427">
      <w:rPr>
        <w:rStyle w:val="Nmerodepgina"/>
        <w:iCs/>
        <w:sz w:val="18"/>
        <w:szCs w:val="18"/>
      </w:rPr>
      <w:fldChar w:fldCharType="begin"/>
    </w:r>
    <w:r w:rsidR="004019A9" w:rsidRPr="007B6427">
      <w:rPr>
        <w:rStyle w:val="Nmerodepgina"/>
        <w:iCs/>
        <w:sz w:val="18"/>
        <w:szCs w:val="18"/>
      </w:rPr>
      <w:instrText xml:space="preserve"> PAGE </w:instrText>
    </w:r>
    <w:r w:rsidR="004019A9" w:rsidRPr="007B6427">
      <w:rPr>
        <w:rStyle w:val="Nmerodepgina"/>
        <w:iCs/>
        <w:sz w:val="18"/>
        <w:szCs w:val="18"/>
      </w:rPr>
      <w:fldChar w:fldCharType="separate"/>
    </w:r>
    <w:r w:rsidR="00707186">
      <w:rPr>
        <w:rStyle w:val="Nmerodepgina"/>
        <w:iCs/>
        <w:noProof/>
        <w:sz w:val="18"/>
        <w:szCs w:val="18"/>
      </w:rPr>
      <w:t>8</w:t>
    </w:r>
    <w:r w:rsidR="004019A9" w:rsidRPr="007B6427">
      <w:rPr>
        <w:rStyle w:val="Nmerodepgina"/>
        <w:iCs/>
        <w:sz w:val="18"/>
        <w:szCs w:val="18"/>
      </w:rPr>
      <w:fldChar w:fldCharType="end"/>
    </w:r>
    <w:r w:rsidR="004019A9" w:rsidRPr="007B6427">
      <w:rPr>
        <w:rStyle w:val="Nmerodepgina"/>
        <w:iCs/>
        <w:sz w:val="18"/>
        <w:szCs w:val="18"/>
      </w:rPr>
      <w:t xml:space="preserve"> de </w:t>
    </w:r>
    <w:r w:rsidR="004019A9" w:rsidRPr="007B6427">
      <w:rPr>
        <w:rStyle w:val="Nmerodepgina"/>
        <w:iCs/>
        <w:sz w:val="18"/>
        <w:szCs w:val="18"/>
      </w:rPr>
      <w:fldChar w:fldCharType="begin"/>
    </w:r>
    <w:r w:rsidR="004019A9" w:rsidRPr="007B6427">
      <w:rPr>
        <w:rStyle w:val="Nmerodepgina"/>
        <w:iCs/>
        <w:sz w:val="18"/>
        <w:szCs w:val="18"/>
      </w:rPr>
      <w:instrText xml:space="preserve"> NUMPAGES </w:instrText>
    </w:r>
    <w:r w:rsidR="004019A9" w:rsidRPr="007B6427">
      <w:rPr>
        <w:rStyle w:val="Nmerodepgina"/>
        <w:iCs/>
        <w:sz w:val="18"/>
        <w:szCs w:val="18"/>
      </w:rPr>
      <w:fldChar w:fldCharType="separate"/>
    </w:r>
    <w:r w:rsidR="00707186">
      <w:rPr>
        <w:rStyle w:val="Nmerodepgina"/>
        <w:iCs/>
        <w:noProof/>
        <w:sz w:val="18"/>
        <w:szCs w:val="18"/>
      </w:rPr>
      <w:t>8</w:t>
    </w:r>
    <w:r w:rsidR="004019A9" w:rsidRPr="007B6427">
      <w:rPr>
        <w:rStyle w:val="Nmerodepgina"/>
        <w:i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BB" w:rsidRDefault="006F05C7" w:rsidP="006A0A13">
    <w:pPr>
      <w:pStyle w:val="Encabezado"/>
      <w:tabs>
        <w:tab w:val="clear" w:pos="8504"/>
        <w:tab w:val="right" w:pos="9072"/>
      </w:tabs>
    </w:pPr>
    <w:r>
      <w:rPr>
        <w:noProof/>
        <w:lang w:eastAsia="es-CO"/>
      </w:rPr>
      <w:drawing>
        <wp:anchor distT="0" distB="0" distL="114935" distR="114935" simplePos="0" relativeHeight="251656704" behindDoc="1" locked="0" layoutInCell="1" allowOverlap="1">
          <wp:simplePos x="0" y="0"/>
          <wp:positionH relativeFrom="column">
            <wp:posOffset>1485900</wp:posOffset>
          </wp:positionH>
          <wp:positionV relativeFrom="paragraph">
            <wp:posOffset>-5080</wp:posOffset>
          </wp:positionV>
          <wp:extent cx="2459355" cy="59563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59355" cy="595630"/>
                  </a:xfrm>
                  <a:prstGeom prst="rect">
                    <a:avLst/>
                  </a:prstGeom>
                  <a:solidFill>
                    <a:srgbClr val="FFFFFF"/>
                  </a:solidFill>
                  <a:ln w="9525">
                    <a:noFill/>
                    <a:miter lim="800000"/>
                    <a:headEnd/>
                    <a:tailEnd/>
                  </a:ln>
                </pic:spPr>
              </pic:pic>
            </a:graphicData>
          </a:graphic>
        </wp:anchor>
      </w:drawing>
    </w:r>
    <w:r w:rsidR="000C2DBB">
      <w:t xml:space="preserve"> </w:t>
    </w:r>
  </w:p>
  <w:p w:rsidR="000C2DBB" w:rsidRDefault="000C2DBB">
    <w:pPr>
      <w:pStyle w:val="Encabezado"/>
    </w:pPr>
  </w:p>
  <w:p w:rsidR="000C2DBB" w:rsidRDefault="000C2DBB">
    <w:pPr>
      <w:pStyle w:val="Encabezado"/>
    </w:pPr>
  </w:p>
  <w:p w:rsidR="000C2DBB" w:rsidRDefault="000C2DBB">
    <w:pPr>
      <w:pStyle w:val="Encabezado"/>
    </w:pPr>
  </w:p>
  <w:p w:rsidR="005076F9" w:rsidRDefault="005076F9" w:rsidP="0086173D">
    <w:pPr>
      <w:pStyle w:val="Ttulo1"/>
      <w:jc w:val="center"/>
      <w:rPr>
        <w:sz w:val="28"/>
        <w:szCs w:val="28"/>
      </w:rPr>
    </w:pPr>
  </w:p>
  <w:p w:rsidR="0086173D" w:rsidRDefault="0086173D" w:rsidP="0086173D">
    <w:pPr>
      <w:pStyle w:val="Ttulo1"/>
      <w:jc w:val="center"/>
      <w:rPr>
        <w:sz w:val="28"/>
        <w:szCs w:val="28"/>
      </w:rPr>
    </w:pPr>
    <w:r w:rsidRPr="00467797">
      <w:rPr>
        <w:sz w:val="28"/>
        <w:szCs w:val="28"/>
      </w:rPr>
      <w:t xml:space="preserve">CIRCULAR </w:t>
    </w:r>
    <w:r>
      <w:rPr>
        <w:sz w:val="28"/>
        <w:szCs w:val="28"/>
      </w:rPr>
      <w:t xml:space="preserve">INTERNA </w:t>
    </w:r>
    <w:r w:rsidRPr="00467797">
      <w:rPr>
        <w:sz w:val="28"/>
        <w:szCs w:val="28"/>
      </w:rPr>
      <w:t>No.  00</w:t>
    </w:r>
    <w:r w:rsidR="003041CD">
      <w:rPr>
        <w:sz w:val="28"/>
        <w:szCs w:val="28"/>
      </w:rPr>
      <w:t>x</w:t>
    </w:r>
  </w:p>
  <w:p w:rsidR="003041CD" w:rsidRPr="003041CD" w:rsidRDefault="003041CD" w:rsidP="003041CD"/>
  <w:p w:rsidR="0086173D" w:rsidRPr="0091398A" w:rsidRDefault="0086173D" w:rsidP="0086173D">
    <w:pPr>
      <w:rPr>
        <w:b/>
        <w:bCs/>
        <w:i w:val="0"/>
      </w:rPr>
    </w:pPr>
  </w:p>
  <w:p w:rsidR="0086173D" w:rsidRPr="00215433" w:rsidRDefault="0086173D" w:rsidP="00215433">
    <w:pPr>
      <w:ind w:left="1410" w:hanging="1410"/>
      <w:jc w:val="both"/>
      <w:rPr>
        <w:b/>
        <w:bCs/>
        <w:i w:val="0"/>
        <w:sz w:val="22"/>
        <w:szCs w:val="22"/>
      </w:rPr>
    </w:pPr>
    <w:r w:rsidRPr="002061C0">
      <w:rPr>
        <w:b/>
        <w:bCs/>
        <w:i w:val="0"/>
        <w:sz w:val="22"/>
        <w:szCs w:val="22"/>
      </w:rPr>
      <w:t>PARA:</w:t>
    </w:r>
    <w:r w:rsidRPr="002061C0">
      <w:rPr>
        <w:b/>
        <w:bCs/>
        <w:i w:val="0"/>
        <w:sz w:val="22"/>
        <w:szCs w:val="22"/>
      </w:rPr>
      <w:tab/>
    </w:r>
    <w:r w:rsidR="00215433" w:rsidRPr="00215433">
      <w:rPr>
        <w:b/>
        <w:bCs/>
        <w:i w:val="0"/>
        <w:sz w:val="22"/>
        <w:szCs w:val="22"/>
      </w:rPr>
      <w:t>REPRESENTANTES LEGALES, MIEMBROS DEL CONSEJO DE</w:t>
    </w:r>
    <w:r w:rsidR="00215433">
      <w:rPr>
        <w:b/>
        <w:bCs/>
        <w:i w:val="0"/>
        <w:sz w:val="22"/>
        <w:szCs w:val="22"/>
      </w:rPr>
      <w:t xml:space="preserve"> </w:t>
    </w:r>
    <w:r w:rsidR="00215433" w:rsidRPr="00215433">
      <w:rPr>
        <w:b/>
        <w:bCs/>
        <w:i w:val="0"/>
        <w:sz w:val="22"/>
        <w:szCs w:val="22"/>
      </w:rPr>
      <w:t>ADMINISTRACIÓN O JUNTAS DIRECTIVAS y REVISORES FISCALES</w:t>
    </w:r>
    <w:r w:rsidR="00215433">
      <w:rPr>
        <w:b/>
        <w:bCs/>
        <w:i w:val="0"/>
        <w:sz w:val="22"/>
        <w:szCs w:val="22"/>
      </w:rPr>
      <w:t xml:space="preserve"> </w:t>
    </w:r>
    <w:r w:rsidR="00215433" w:rsidRPr="00215433">
      <w:rPr>
        <w:b/>
        <w:bCs/>
        <w:i w:val="0"/>
        <w:sz w:val="22"/>
        <w:szCs w:val="22"/>
      </w:rPr>
      <w:t>DE ORGANIZACIONES DE LA ECONOMIA SOLIDARIA SUPERVISADAS</w:t>
    </w:r>
    <w:r w:rsidR="00024E4A" w:rsidRPr="00215433">
      <w:rPr>
        <w:b/>
        <w:bCs/>
        <w:i w:val="0"/>
        <w:sz w:val="22"/>
        <w:szCs w:val="22"/>
        <w:lang w:val="es-ES"/>
      </w:rPr>
      <w:t xml:space="preserve"> QUE HACEN PARTE DEL GRUPO 1 </w:t>
    </w:r>
    <w:r w:rsidR="00215433" w:rsidRPr="00215433">
      <w:rPr>
        <w:b/>
        <w:bCs/>
        <w:i w:val="0"/>
        <w:sz w:val="22"/>
        <w:szCs w:val="22"/>
        <w:lang w:val="es-ES"/>
      </w:rPr>
      <w:t xml:space="preserve">CONFORME A LO ESTABLECIDO EN </w:t>
    </w:r>
    <w:r w:rsidR="00024E4A" w:rsidRPr="00215433">
      <w:rPr>
        <w:b/>
        <w:bCs/>
        <w:i w:val="0"/>
        <w:sz w:val="22"/>
        <w:szCs w:val="22"/>
        <w:lang w:val="es-ES"/>
      </w:rPr>
      <w:t>EL DECRETO 2784</w:t>
    </w:r>
    <w:r w:rsidR="004E2421">
      <w:rPr>
        <w:b/>
        <w:bCs/>
        <w:i w:val="0"/>
        <w:sz w:val="22"/>
        <w:szCs w:val="22"/>
        <w:lang w:val="es-ES"/>
      </w:rPr>
      <w:t xml:space="preserve"> de 2012.</w:t>
    </w:r>
  </w:p>
  <w:p w:rsidR="0086173D" w:rsidRDefault="0086173D" w:rsidP="0086173D">
    <w:pPr>
      <w:rPr>
        <w:b/>
        <w:bCs/>
        <w:i w:val="0"/>
        <w:sz w:val="22"/>
        <w:szCs w:val="22"/>
      </w:rPr>
    </w:pPr>
  </w:p>
  <w:p w:rsidR="003041CD" w:rsidRPr="002061C0" w:rsidRDefault="003041CD" w:rsidP="0086173D">
    <w:pPr>
      <w:rPr>
        <w:b/>
        <w:bCs/>
        <w:i w:val="0"/>
        <w:sz w:val="22"/>
        <w:szCs w:val="22"/>
      </w:rPr>
    </w:pPr>
  </w:p>
  <w:p w:rsidR="0086173D" w:rsidRPr="002061C0" w:rsidRDefault="0086173D" w:rsidP="0086173D">
    <w:pPr>
      <w:rPr>
        <w:b/>
        <w:bCs/>
        <w:i w:val="0"/>
        <w:sz w:val="22"/>
        <w:szCs w:val="22"/>
      </w:rPr>
    </w:pPr>
    <w:r w:rsidRPr="002061C0">
      <w:rPr>
        <w:b/>
        <w:bCs/>
        <w:i w:val="0"/>
        <w:sz w:val="22"/>
        <w:szCs w:val="22"/>
      </w:rPr>
      <w:t>DE:</w:t>
    </w:r>
    <w:r w:rsidRPr="002061C0">
      <w:rPr>
        <w:b/>
        <w:bCs/>
        <w:i w:val="0"/>
        <w:sz w:val="22"/>
        <w:szCs w:val="22"/>
      </w:rPr>
      <w:tab/>
    </w:r>
    <w:r w:rsidRPr="002061C0">
      <w:rPr>
        <w:b/>
        <w:bCs/>
        <w:i w:val="0"/>
        <w:sz w:val="22"/>
        <w:szCs w:val="22"/>
      </w:rPr>
      <w:tab/>
      <w:t xml:space="preserve">SUPERINTENDENTE </w:t>
    </w:r>
    <w:r w:rsidRPr="002061C0">
      <w:rPr>
        <w:b/>
        <w:bCs/>
        <w:i w:val="0"/>
        <w:sz w:val="22"/>
        <w:szCs w:val="22"/>
      </w:rPr>
      <w:tab/>
    </w:r>
  </w:p>
  <w:p w:rsidR="0086173D" w:rsidRDefault="0086173D" w:rsidP="0086173D">
    <w:pPr>
      <w:rPr>
        <w:b/>
        <w:bCs/>
        <w:i w:val="0"/>
        <w:sz w:val="22"/>
        <w:szCs w:val="22"/>
      </w:rPr>
    </w:pPr>
  </w:p>
  <w:p w:rsidR="003041CD" w:rsidRPr="002061C0" w:rsidRDefault="003041CD" w:rsidP="0086173D">
    <w:pPr>
      <w:rPr>
        <w:b/>
        <w:bCs/>
        <w:i w:val="0"/>
        <w:sz w:val="22"/>
        <w:szCs w:val="22"/>
      </w:rPr>
    </w:pPr>
  </w:p>
  <w:p w:rsidR="0086173D" w:rsidRDefault="0086173D" w:rsidP="00513333">
    <w:pPr>
      <w:ind w:left="1440" w:hanging="1440"/>
      <w:rPr>
        <w:b/>
        <w:bCs/>
        <w:sz w:val="22"/>
      </w:rPr>
    </w:pPr>
    <w:r w:rsidRPr="002061C0">
      <w:rPr>
        <w:b/>
        <w:bCs/>
        <w:i w:val="0"/>
        <w:sz w:val="22"/>
        <w:szCs w:val="22"/>
      </w:rPr>
      <w:t xml:space="preserve">ASUNTO: </w:t>
    </w:r>
    <w:r w:rsidRPr="002061C0">
      <w:rPr>
        <w:b/>
        <w:bCs/>
        <w:i w:val="0"/>
        <w:sz w:val="22"/>
        <w:szCs w:val="22"/>
      </w:rPr>
      <w:tab/>
    </w:r>
    <w:r w:rsidR="00024E4A">
      <w:rPr>
        <w:b/>
        <w:i w:val="0"/>
      </w:rPr>
      <w:t>Reporte d</w:t>
    </w:r>
    <w:r w:rsidR="00024E4A" w:rsidRPr="00024E4A">
      <w:rPr>
        <w:b/>
        <w:i w:val="0"/>
      </w:rPr>
      <w:t>el Estado de Situación Financiera de Apertura (ESFA).</w:t>
    </w:r>
  </w:p>
  <w:p w:rsidR="0086173D" w:rsidRDefault="0086173D" w:rsidP="0086173D">
    <w:pPr>
      <w:ind w:left="1440" w:hanging="1440"/>
      <w:jc w:val="both"/>
      <w:rPr>
        <w:b/>
        <w:bCs/>
        <w:i w:val="0"/>
        <w:sz w:val="22"/>
        <w:szCs w:val="22"/>
      </w:rPr>
    </w:pPr>
  </w:p>
  <w:p w:rsidR="003041CD" w:rsidRPr="002061C0" w:rsidRDefault="003041CD" w:rsidP="0086173D">
    <w:pPr>
      <w:ind w:left="1440" w:hanging="1440"/>
      <w:jc w:val="both"/>
      <w:rPr>
        <w:b/>
        <w:bCs/>
        <w:i w:val="0"/>
        <w:sz w:val="22"/>
        <w:szCs w:val="22"/>
      </w:rPr>
    </w:pPr>
  </w:p>
  <w:p w:rsidR="0086173D" w:rsidRDefault="0086173D" w:rsidP="0086173D">
    <w:pPr>
      <w:rPr>
        <w:b/>
        <w:bCs/>
        <w:i w:val="0"/>
        <w:sz w:val="22"/>
        <w:szCs w:val="22"/>
      </w:rPr>
    </w:pPr>
    <w:r w:rsidRPr="002061C0">
      <w:rPr>
        <w:b/>
        <w:bCs/>
        <w:i w:val="0"/>
        <w:sz w:val="22"/>
        <w:szCs w:val="22"/>
      </w:rPr>
      <w:t xml:space="preserve">FECHA: </w:t>
    </w:r>
    <w:r w:rsidRPr="002061C0">
      <w:rPr>
        <w:b/>
        <w:bCs/>
        <w:i w:val="0"/>
        <w:sz w:val="22"/>
        <w:szCs w:val="22"/>
      </w:rPr>
      <w:tab/>
      <w:t xml:space="preserve">Bogotá D.C.,  </w:t>
    </w:r>
  </w:p>
  <w:p w:rsidR="00FC5D2C" w:rsidRDefault="00FC5D2C" w:rsidP="002061C0">
    <w:pPr>
      <w:rPr>
        <w:b/>
        <w:bCs/>
        <w:i w:val="0"/>
        <w:sz w:val="22"/>
        <w:szCs w:val="22"/>
      </w:rPr>
    </w:pPr>
  </w:p>
  <w:p w:rsidR="002061C0" w:rsidRPr="002061C0" w:rsidRDefault="001D0E8E" w:rsidP="002061C0">
    <w:pPr>
      <w:rPr>
        <w:b/>
        <w:bCs/>
        <w:i w:val="0"/>
        <w:sz w:val="22"/>
        <w:szCs w:val="22"/>
      </w:rPr>
    </w:pPr>
    <w:r>
      <w:rPr>
        <w:b/>
        <w:bCs/>
        <w:i w:val="0"/>
        <w:noProof/>
        <w:sz w:val="22"/>
        <w:szCs w:val="22"/>
        <w:lang w:eastAsia="es-CO"/>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71120</wp:posOffset>
              </wp:positionV>
              <wp:extent cx="5638800" cy="0"/>
              <wp:effectExtent l="28575" t="33020" r="28575" b="33655"/>
              <wp:wrapTopAndBottom/>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BEF03E" id="Line 5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rpHgIAADs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" strokeweight="4.5pt">
              <v:stroke linestyle="thinThick"/>
              <w10:wrap type="topAndBottom"/>
            </v:line>
          </w:pict>
        </mc:Fallback>
      </mc:AlternateContent>
    </w:r>
  </w:p>
  <w:p w:rsidR="000C2DBB" w:rsidRPr="002061C0" w:rsidRDefault="002061C0" w:rsidP="00114A2A">
    <w:pPr>
      <w:tabs>
        <w:tab w:val="right" w:pos="9123"/>
      </w:tabs>
      <w:rPr>
        <w:sz w:val="22"/>
        <w:szCs w:val="22"/>
      </w:rPr>
    </w:pPr>
    <w:r w:rsidRPr="0091398A">
      <w:rPr>
        <w:b/>
        <w:bCs/>
        <w:i w:val="0"/>
      </w:rPr>
      <w:t xml:space="preserve">  </w:t>
    </w:r>
    <w:r w:rsidR="00114A2A">
      <w:rPr>
        <w:b/>
        <w:bCs/>
        <w:i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F5C70"/>
    <w:multiLevelType w:val="hybridMultilevel"/>
    <w:tmpl w:val="AACA8A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682594A"/>
    <w:multiLevelType w:val="hybridMultilevel"/>
    <w:tmpl w:val="1366A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C66F38"/>
    <w:multiLevelType w:val="hybridMultilevel"/>
    <w:tmpl w:val="17E4D7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1407C1"/>
    <w:multiLevelType w:val="hybridMultilevel"/>
    <w:tmpl w:val="963275EA"/>
    <w:lvl w:ilvl="0" w:tplc="2EACDBCA">
      <w:start w:val="1"/>
      <w:numFmt w:val="decimal"/>
      <w:lvlText w:val="%1."/>
      <w:lvlJc w:val="left"/>
      <w:pPr>
        <w:ind w:left="360" w:hanging="360"/>
      </w:pPr>
      <w:rPr>
        <w:rFonts w:ascii="Arial" w:eastAsia="Times New Roma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DC91950"/>
    <w:multiLevelType w:val="hybridMultilevel"/>
    <w:tmpl w:val="D7A80488"/>
    <w:lvl w:ilvl="0" w:tplc="2C6A42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nsid w:val="1AF55758"/>
    <w:multiLevelType w:val="hybridMultilevel"/>
    <w:tmpl w:val="44060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B833D8"/>
    <w:multiLevelType w:val="hybridMultilevel"/>
    <w:tmpl w:val="BF6ADE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F2A68EB"/>
    <w:multiLevelType w:val="hybridMultilevel"/>
    <w:tmpl w:val="7FEAB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62618D"/>
    <w:multiLevelType w:val="hybridMultilevel"/>
    <w:tmpl w:val="B0C2A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4B3B91"/>
    <w:multiLevelType w:val="hybridMultilevel"/>
    <w:tmpl w:val="8742662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8"/>
  </w:num>
  <w:num w:numId="7">
    <w:abstractNumId w:val="1"/>
  </w:num>
  <w:num w:numId="8">
    <w:abstractNumId w:val="11"/>
  </w:num>
  <w:num w:numId="9">
    <w:abstractNumId w:val="7"/>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A9"/>
    <w:rsid w:val="000236D0"/>
    <w:rsid w:val="0002466E"/>
    <w:rsid w:val="00024E4A"/>
    <w:rsid w:val="000517FF"/>
    <w:rsid w:val="000572CD"/>
    <w:rsid w:val="0006478D"/>
    <w:rsid w:val="00065FB0"/>
    <w:rsid w:val="000830EA"/>
    <w:rsid w:val="000C2DBB"/>
    <w:rsid w:val="000C6E5C"/>
    <w:rsid w:val="000D2F77"/>
    <w:rsid w:val="000D5173"/>
    <w:rsid w:val="000F5EDE"/>
    <w:rsid w:val="00114A2A"/>
    <w:rsid w:val="0012089B"/>
    <w:rsid w:val="00124016"/>
    <w:rsid w:val="00134387"/>
    <w:rsid w:val="00134780"/>
    <w:rsid w:val="001411CC"/>
    <w:rsid w:val="00157155"/>
    <w:rsid w:val="00171091"/>
    <w:rsid w:val="00180868"/>
    <w:rsid w:val="001D0E8E"/>
    <w:rsid w:val="001D5D7C"/>
    <w:rsid w:val="001E216B"/>
    <w:rsid w:val="002061C0"/>
    <w:rsid w:val="00215433"/>
    <w:rsid w:val="00222BAF"/>
    <w:rsid w:val="00230F0C"/>
    <w:rsid w:val="00255A0A"/>
    <w:rsid w:val="00262163"/>
    <w:rsid w:val="002656C8"/>
    <w:rsid w:val="00285791"/>
    <w:rsid w:val="002940A9"/>
    <w:rsid w:val="002A06D0"/>
    <w:rsid w:val="002A4429"/>
    <w:rsid w:val="002B45E0"/>
    <w:rsid w:val="002B4C8F"/>
    <w:rsid w:val="002C71CB"/>
    <w:rsid w:val="002E6639"/>
    <w:rsid w:val="002F467E"/>
    <w:rsid w:val="0030054F"/>
    <w:rsid w:val="003041CD"/>
    <w:rsid w:val="00306C98"/>
    <w:rsid w:val="003135E1"/>
    <w:rsid w:val="00313912"/>
    <w:rsid w:val="00337ED3"/>
    <w:rsid w:val="003605C6"/>
    <w:rsid w:val="00363D1A"/>
    <w:rsid w:val="003A053B"/>
    <w:rsid w:val="003A187E"/>
    <w:rsid w:val="003D113C"/>
    <w:rsid w:val="003D3BAC"/>
    <w:rsid w:val="003D68C2"/>
    <w:rsid w:val="003E5183"/>
    <w:rsid w:val="003F56C0"/>
    <w:rsid w:val="004019A9"/>
    <w:rsid w:val="00415D43"/>
    <w:rsid w:val="004213A5"/>
    <w:rsid w:val="004350E3"/>
    <w:rsid w:val="00436781"/>
    <w:rsid w:val="0044242D"/>
    <w:rsid w:val="004744A4"/>
    <w:rsid w:val="00475FA8"/>
    <w:rsid w:val="00495F75"/>
    <w:rsid w:val="00496A72"/>
    <w:rsid w:val="004A05C7"/>
    <w:rsid w:val="004C09B2"/>
    <w:rsid w:val="004D52AD"/>
    <w:rsid w:val="004D5336"/>
    <w:rsid w:val="004E2421"/>
    <w:rsid w:val="00504123"/>
    <w:rsid w:val="005076F9"/>
    <w:rsid w:val="00513333"/>
    <w:rsid w:val="00530233"/>
    <w:rsid w:val="005A15A9"/>
    <w:rsid w:val="005A765D"/>
    <w:rsid w:val="005C0D83"/>
    <w:rsid w:val="005C329D"/>
    <w:rsid w:val="005D5F6A"/>
    <w:rsid w:val="005E0D2A"/>
    <w:rsid w:val="00610506"/>
    <w:rsid w:val="00614B77"/>
    <w:rsid w:val="006157C5"/>
    <w:rsid w:val="00624DDA"/>
    <w:rsid w:val="0062794C"/>
    <w:rsid w:val="00633A4B"/>
    <w:rsid w:val="00655E51"/>
    <w:rsid w:val="006656B4"/>
    <w:rsid w:val="006671C4"/>
    <w:rsid w:val="0067615C"/>
    <w:rsid w:val="00682593"/>
    <w:rsid w:val="00691F4D"/>
    <w:rsid w:val="00695094"/>
    <w:rsid w:val="00695693"/>
    <w:rsid w:val="006A0A13"/>
    <w:rsid w:val="006A5091"/>
    <w:rsid w:val="006C1301"/>
    <w:rsid w:val="006C2849"/>
    <w:rsid w:val="006D40D9"/>
    <w:rsid w:val="006D5556"/>
    <w:rsid w:val="006F05C7"/>
    <w:rsid w:val="006F3077"/>
    <w:rsid w:val="00703FD3"/>
    <w:rsid w:val="00707186"/>
    <w:rsid w:val="00747BE9"/>
    <w:rsid w:val="00761A55"/>
    <w:rsid w:val="00770BE2"/>
    <w:rsid w:val="0077265D"/>
    <w:rsid w:val="0077745B"/>
    <w:rsid w:val="00783C3D"/>
    <w:rsid w:val="007B3B53"/>
    <w:rsid w:val="007B6427"/>
    <w:rsid w:val="007C25B7"/>
    <w:rsid w:val="007C5116"/>
    <w:rsid w:val="00800007"/>
    <w:rsid w:val="008255F6"/>
    <w:rsid w:val="00833EAB"/>
    <w:rsid w:val="00840DB7"/>
    <w:rsid w:val="00851068"/>
    <w:rsid w:val="00854483"/>
    <w:rsid w:val="00860EFE"/>
    <w:rsid w:val="0086173D"/>
    <w:rsid w:val="00872279"/>
    <w:rsid w:val="008750F7"/>
    <w:rsid w:val="0087740E"/>
    <w:rsid w:val="00882258"/>
    <w:rsid w:val="00886CFE"/>
    <w:rsid w:val="00887AD1"/>
    <w:rsid w:val="008F5083"/>
    <w:rsid w:val="00900085"/>
    <w:rsid w:val="009064F3"/>
    <w:rsid w:val="00906F16"/>
    <w:rsid w:val="00921243"/>
    <w:rsid w:val="00944490"/>
    <w:rsid w:val="00951B50"/>
    <w:rsid w:val="0095638F"/>
    <w:rsid w:val="00962D0B"/>
    <w:rsid w:val="009A5844"/>
    <w:rsid w:val="009B73DC"/>
    <w:rsid w:val="009C0B9B"/>
    <w:rsid w:val="009F18B2"/>
    <w:rsid w:val="00A075D3"/>
    <w:rsid w:val="00A20D6C"/>
    <w:rsid w:val="00A24D4A"/>
    <w:rsid w:val="00A25C8E"/>
    <w:rsid w:val="00A335FC"/>
    <w:rsid w:val="00A33EAF"/>
    <w:rsid w:val="00A44028"/>
    <w:rsid w:val="00A523A8"/>
    <w:rsid w:val="00A6677F"/>
    <w:rsid w:val="00A73580"/>
    <w:rsid w:val="00AE57A5"/>
    <w:rsid w:val="00B04D1C"/>
    <w:rsid w:val="00B22C75"/>
    <w:rsid w:val="00B61612"/>
    <w:rsid w:val="00B61AC4"/>
    <w:rsid w:val="00B73DF6"/>
    <w:rsid w:val="00B76339"/>
    <w:rsid w:val="00B76BB2"/>
    <w:rsid w:val="00B942E6"/>
    <w:rsid w:val="00B95FB6"/>
    <w:rsid w:val="00B97C96"/>
    <w:rsid w:val="00BC16F4"/>
    <w:rsid w:val="00BD4BED"/>
    <w:rsid w:val="00BE5851"/>
    <w:rsid w:val="00BF5591"/>
    <w:rsid w:val="00C137A3"/>
    <w:rsid w:val="00C26EB6"/>
    <w:rsid w:val="00C35C60"/>
    <w:rsid w:val="00C42D91"/>
    <w:rsid w:val="00C45CFC"/>
    <w:rsid w:val="00C5160E"/>
    <w:rsid w:val="00C64866"/>
    <w:rsid w:val="00C652F9"/>
    <w:rsid w:val="00C90B59"/>
    <w:rsid w:val="00C95421"/>
    <w:rsid w:val="00CB590B"/>
    <w:rsid w:val="00CD2442"/>
    <w:rsid w:val="00D63284"/>
    <w:rsid w:val="00D96504"/>
    <w:rsid w:val="00DB41E9"/>
    <w:rsid w:val="00DE074F"/>
    <w:rsid w:val="00DE1E68"/>
    <w:rsid w:val="00DE492C"/>
    <w:rsid w:val="00DE77A3"/>
    <w:rsid w:val="00DF2866"/>
    <w:rsid w:val="00E13D4F"/>
    <w:rsid w:val="00E23D8B"/>
    <w:rsid w:val="00E3430E"/>
    <w:rsid w:val="00E44AFD"/>
    <w:rsid w:val="00E56385"/>
    <w:rsid w:val="00E640FF"/>
    <w:rsid w:val="00E757CF"/>
    <w:rsid w:val="00E96B54"/>
    <w:rsid w:val="00EC5DE2"/>
    <w:rsid w:val="00ED351D"/>
    <w:rsid w:val="00F01E79"/>
    <w:rsid w:val="00F13F44"/>
    <w:rsid w:val="00F332C2"/>
    <w:rsid w:val="00F42286"/>
    <w:rsid w:val="00F66A82"/>
    <w:rsid w:val="00F85ABD"/>
    <w:rsid w:val="00F91ADA"/>
    <w:rsid w:val="00FB0686"/>
    <w:rsid w:val="00FB50E4"/>
    <w:rsid w:val="00FC5D2C"/>
    <w:rsid w:val="00FD6451"/>
    <w:rsid w:val="00FF14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i/>
      <w:sz w:val="24"/>
      <w:szCs w:val="24"/>
      <w:lang w:eastAsia="ar-SA"/>
    </w:rPr>
  </w:style>
  <w:style w:type="paragraph" w:styleId="Ttulo1">
    <w:name w:val="heading 1"/>
    <w:basedOn w:val="Normal"/>
    <w:next w:val="Normal"/>
    <w:qFormat/>
    <w:pPr>
      <w:keepNext/>
      <w:tabs>
        <w:tab w:val="num" w:pos="0"/>
      </w:tabs>
      <w:outlineLvl w:val="0"/>
    </w:pPr>
    <w:rPr>
      <w:b/>
      <w:bCs/>
      <w:i w:val="0"/>
      <w:iCs/>
    </w:rPr>
  </w:style>
  <w:style w:type="paragraph" w:styleId="Ttulo2">
    <w:name w:val="heading 2"/>
    <w:basedOn w:val="Normal"/>
    <w:next w:val="Normal"/>
    <w:qFormat/>
    <w:pPr>
      <w:keepNext/>
      <w:tabs>
        <w:tab w:val="num" w:pos="0"/>
      </w:tabs>
      <w:jc w:val="both"/>
      <w:outlineLvl w:val="1"/>
    </w:pPr>
    <w:rPr>
      <w:b/>
      <w:bCs/>
      <w:i w:val="0"/>
      <w:iCs/>
    </w:rPr>
  </w:style>
  <w:style w:type="paragraph" w:styleId="Ttulo3">
    <w:name w:val="heading 3"/>
    <w:basedOn w:val="Normal"/>
    <w:next w:val="Normal"/>
    <w:qFormat/>
    <w:pPr>
      <w:keepNext/>
      <w:tabs>
        <w:tab w:val="num" w:pos="0"/>
      </w:tabs>
      <w:outlineLvl w:val="2"/>
    </w:pPr>
    <w:rPr>
      <w:b/>
      <w:bCs/>
      <w:i w:val="0"/>
      <w:iCs/>
      <w:sz w:val="22"/>
    </w:rPr>
  </w:style>
  <w:style w:type="paragraph" w:styleId="Ttulo4">
    <w:name w:val="heading 4"/>
    <w:basedOn w:val="Normal"/>
    <w:next w:val="Normal"/>
    <w:qFormat/>
    <w:pPr>
      <w:keepNext/>
      <w:tabs>
        <w:tab w:val="num" w:pos="0"/>
      </w:tabs>
      <w:jc w:val="both"/>
      <w:outlineLvl w:val="3"/>
    </w:pPr>
    <w:rPr>
      <w:rFonts w:ascii="Tahoma" w:hAnsi="Tahoma" w:cs="Tahoma"/>
      <w:b/>
      <w:bCs/>
      <w:i w:val="0"/>
    </w:rPr>
  </w:style>
  <w:style w:type="paragraph" w:styleId="Ttulo5">
    <w:name w:val="heading 5"/>
    <w:basedOn w:val="Normal"/>
    <w:next w:val="Normal"/>
    <w:qFormat/>
    <w:pPr>
      <w:keepNext/>
      <w:tabs>
        <w:tab w:val="num" w:pos="0"/>
      </w:tabs>
      <w:jc w:val="both"/>
      <w:outlineLvl w:val="4"/>
    </w:pPr>
  </w:style>
  <w:style w:type="paragraph" w:styleId="Ttulo6">
    <w:name w:val="heading 6"/>
    <w:basedOn w:val="Normal"/>
    <w:next w:val="Normal"/>
    <w:qFormat/>
    <w:pPr>
      <w:keepNext/>
      <w:tabs>
        <w:tab w:val="num" w:pos="0"/>
      </w:tabs>
      <w:jc w:val="center"/>
      <w:outlineLvl w:val="5"/>
    </w:pPr>
    <w:rPr>
      <w:b/>
      <w:bCs/>
      <w:i w:val="0"/>
    </w:rPr>
  </w:style>
  <w:style w:type="paragraph" w:styleId="Ttulo7">
    <w:name w:val="heading 7"/>
    <w:basedOn w:val="Normal"/>
    <w:next w:val="Normal"/>
    <w:qFormat/>
    <w:pPr>
      <w:keepNext/>
      <w:tabs>
        <w:tab w:val="num" w:pos="0"/>
      </w:tabs>
      <w:outlineLvl w:val="6"/>
    </w:pPr>
    <w:rPr>
      <w:b/>
      <w:bCs/>
      <w:i w:val="0"/>
      <w:iCs/>
      <w:sz w:val="16"/>
    </w:rPr>
  </w:style>
  <w:style w:type="paragraph" w:styleId="Ttulo8">
    <w:name w:val="heading 8"/>
    <w:basedOn w:val="Normal"/>
    <w:next w:val="Normal"/>
    <w:qFormat/>
    <w:pPr>
      <w:keepNext/>
      <w:tabs>
        <w:tab w:val="num" w:pos="0"/>
      </w:tabs>
      <w:jc w:val="both"/>
      <w:outlineLvl w:val="7"/>
    </w:pPr>
    <w:rPr>
      <w:b/>
      <w:bCs/>
      <w:i w:val="0"/>
      <w:iCs/>
      <w:sz w:val="22"/>
    </w:rPr>
  </w:style>
  <w:style w:type="paragraph" w:styleId="Ttulo9">
    <w:name w:val="heading 9"/>
    <w:basedOn w:val="Normal"/>
    <w:next w:val="Normal"/>
    <w:qFormat/>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character" w:styleId="Hipervnculovisitado">
    <w:name w:val="FollowedHyperlink"/>
    <w:basedOn w:val="Fuentedeprrafopredeter1"/>
    <w:rPr>
      <w:color w:val="800080"/>
      <w:u w:val="single"/>
    </w:rPr>
  </w:style>
  <w:style w:type="character" w:styleId="Nmerodepgina">
    <w:name w:val="page number"/>
    <w:basedOn w:val="Fuentedeprrafopredeter1"/>
  </w:style>
  <w:style w:type="paragraph" w:customStyle="1" w:styleId="Encabezado2">
    <w:name w:val="Encabezado2"/>
    <w:basedOn w:val="Normal"/>
    <w:next w:val="Textoindependiente"/>
    <w:pPr>
      <w:keepNext/>
      <w:spacing w:before="240" w:after="120"/>
    </w:pPr>
    <w:rPr>
      <w:rFonts w:eastAsia="Arial Unicode MS" w:cs="Tahoma"/>
      <w:sz w:val="28"/>
      <w:szCs w:val="28"/>
    </w:rPr>
  </w:style>
  <w:style w:type="paragraph" w:styleId="Textoindependiente">
    <w:name w:val="Body Text"/>
    <w:basedOn w:val="Normal"/>
    <w:pPr>
      <w:jc w:val="both"/>
    </w:pPr>
    <w:rPr>
      <w:i w:val="0"/>
      <w:iC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eastAsia="Arial Unicode MS" w:cs="Tahoma"/>
      <w:sz w:val="28"/>
      <w:szCs w:val="28"/>
    </w:rPr>
  </w:style>
  <w:style w:type="paragraph" w:styleId="Direccinsobre">
    <w:name w:val="envelope address"/>
    <w:basedOn w:val="Normal"/>
    <w:pPr>
      <w:ind w:left="2880"/>
    </w:pPr>
    <w:rPr>
      <w:rFonts w:ascii="Monotype Corsiva" w:hAnsi="Monotype Corsiva"/>
      <w:b/>
      <w:i w:val="0"/>
      <w:sz w:val="36"/>
    </w:rPr>
  </w:style>
  <w:style w:type="paragraph" w:customStyle="1" w:styleId="Textoindependiente21">
    <w:name w:val="Texto independiente 21"/>
    <w:basedOn w:val="Normal"/>
    <w:pPr>
      <w:jc w:val="both"/>
    </w:pPr>
    <w:rPr>
      <w:i w:val="0"/>
      <w:iCs/>
      <w:sz w:val="22"/>
    </w:rPr>
  </w:style>
  <w:style w:type="paragraph" w:styleId="Encabezado">
    <w:name w:val="header"/>
    <w:basedOn w:val="Normal"/>
    <w:pPr>
      <w:tabs>
        <w:tab w:val="center" w:pos="4252"/>
        <w:tab w:val="right" w:pos="8504"/>
      </w:tabs>
    </w:pPr>
    <w:rPr>
      <w:rFonts w:cs="Times New Roman"/>
      <w:i w:val="0"/>
    </w:rPr>
  </w:style>
  <w:style w:type="paragraph" w:styleId="Piedepgina">
    <w:name w:val="footer"/>
    <w:basedOn w:val="Normal"/>
    <w:link w:val="PiedepginaCar"/>
    <w:pPr>
      <w:tabs>
        <w:tab w:val="center" w:pos="4419"/>
        <w:tab w:val="right" w:pos="8838"/>
      </w:tabs>
    </w:pPr>
  </w:style>
  <w:style w:type="paragraph" w:styleId="Ttulo">
    <w:name w:val="Title"/>
    <w:basedOn w:val="Normal"/>
    <w:next w:val="Subttulo"/>
    <w:qFormat/>
    <w:pPr>
      <w:jc w:val="center"/>
    </w:pPr>
    <w:rPr>
      <w:b/>
      <w:bCs/>
      <w:i w:val="0"/>
    </w:rPr>
  </w:style>
  <w:style w:type="paragraph" w:styleId="Subttulo">
    <w:name w:val="Subtitle"/>
    <w:basedOn w:val="Normal"/>
    <w:next w:val="Textoindependiente"/>
    <w:qFormat/>
    <w:pPr>
      <w:jc w:val="center"/>
    </w:pPr>
    <w:rPr>
      <w:rFonts w:ascii="Comic Sans MS" w:hAnsi="Comic Sans MS" w:cs="Times New Roman"/>
      <w:b/>
      <w:i w:val="0"/>
      <w:szCs w:val="20"/>
      <w:lang w:val="en-US"/>
    </w:rPr>
  </w:style>
  <w:style w:type="paragraph" w:styleId="Sangradetextonormal">
    <w:name w:val="Body Text Indent"/>
    <w:basedOn w:val="Normal"/>
    <w:pPr>
      <w:ind w:left="720"/>
      <w:jc w:val="both"/>
    </w:pPr>
    <w:rPr>
      <w:i w:val="0"/>
      <w:iCs/>
    </w:rPr>
  </w:style>
  <w:style w:type="paragraph" w:customStyle="1" w:styleId="Sangra2detindependiente1">
    <w:name w:val="Sangría 2 de t. independiente1"/>
    <w:basedOn w:val="Normal"/>
    <w:pPr>
      <w:ind w:left="2124" w:firstLine="708"/>
      <w:jc w:val="right"/>
    </w:pPr>
    <w:rPr>
      <w:i w:val="0"/>
    </w:rPr>
  </w:style>
  <w:style w:type="paragraph" w:customStyle="1" w:styleId="Sangra3detindependiente1">
    <w:name w:val="Sangría 3 de t. independiente1"/>
    <w:basedOn w:val="Normal"/>
    <w:pPr>
      <w:ind w:left="60"/>
      <w:jc w:val="both"/>
    </w:pPr>
    <w:rPr>
      <w:i w:val="0"/>
      <w:iCs/>
      <w:sz w:val="22"/>
    </w:rPr>
  </w:style>
  <w:style w:type="paragraph" w:customStyle="1" w:styleId="Textoindependiente31">
    <w:name w:val="Texto independiente 31"/>
    <w:basedOn w:val="Normal"/>
    <w:pPr>
      <w:jc w:val="both"/>
    </w:pPr>
    <w:rPr>
      <w:sz w:val="22"/>
    </w:rPr>
  </w:style>
  <w:style w:type="paragraph" w:customStyle="1" w:styleId="Saludo1">
    <w:name w:val="Saludo1"/>
    <w:basedOn w:val="Normal"/>
    <w:next w:val="Normal"/>
    <w:rPr>
      <w:rFonts w:cs="Times New Roman"/>
      <w:i w:val="0"/>
      <w:sz w:val="20"/>
      <w:szCs w:val="20"/>
      <w:lang w:val="es-ES"/>
    </w:rPr>
  </w:style>
  <w:style w:type="paragraph" w:customStyle="1" w:styleId="xl24">
    <w:name w:val="xl24"/>
    <w:basedOn w:val="Normal"/>
    <w:pPr>
      <w:pBdr>
        <w:top w:val="single" w:sz="8" w:space="0" w:color="000000"/>
        <w:left w:val="single" w:sz="8" w:space="0" w:color="000000"/>
      </w:pBdr>
      <w:spacing w:before="280" w:after="280"/>
      <w:jc w:val="center"/>
      <w:textAlignment w:val="top"/>
    </w:pPr>
    <w:rPr>
      <w:rFonts w:eastAsia="Arial Unicode MS"/>
      <w:b/>
      <w:bCs/>
      <w:i w:val="0"/>
      <w:sz w:val="22"/>
      <w:szCs w:val="22"/>
      <w:lang w:val="es-ES"/>
    </w:rPr>
  </w:style>
  <w:style w:type="paragraph" w:customStyle="1" w:styleId="xl25">
    <w:name w:val="xl25"/>
    <w:basedOn w:val="Normal"/>
    <w:pPr>
      <w:pBdr>
        <w:top w:val="single" w:sz="8" w:space="0" w:color="000000"/>
      </w:pBdr>
      <w:spacing w:before="280" w:after="280"/>
      <w:jc w:val="center"/>
      <w:textAlignment w:val="top"/>
    </w:pPr>
    <w:rPr>
      <w:rFonts w:eastAsia="Arial Unicode MS"/>
      <w:b/>
      <w:bCs/>
      <w:i w:val="0"/>
      <w:sz w:val="22"/>
      <w:szCs w:val="22"/>
      <w:lang w:val="es-ES"/>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b/>
      <w:bCs/>
      <w:i w:val="0"/>
      <w:sz w:val="22"/>
      <w:szCs w:val="22"/>
      <w:lang w:val="es-ES"/>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b/>
      <w:bCs/>
      <w:i w:val="0"/>
      <w:sz w:val="22"/>
      <w:szCs w:val="22"/>
      <w:lang w:val="es-ES"/>
    </w:rPr>
  </w:style>
  <w:style w:type="paragraph" w:customStyle="1" w:styleId="xl31">
    <w:name w:val="xl31"/>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32">
    <w:name w:val="xl32"/>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33">
    <w:name w:val="xl33"/>
    <w:basedOn w:val="Normal"/>
    <w:pPr>
      <w:pBdr>
        <w:top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34">
    <w:name w:val="xl34"/>
    <w:basedOn w:val="Normal"/>
    <w:pPr>
      <w:pBdr>
        <w:top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Arial Unicode MS"/>
      <w:b/>
      <w:bCs/>
      <w:i w:val="0"/>
      <w:sz w:val="22"/>
      <w:szCs w:val="22"/>
      <w:lang w:val="es-ES"/>
    </w:rPr>
  </w:style>
  <w:style w:type="paragraph" w:styleId="NormalWeb">
    <w:name w:val="Normal (Web)"/>
    <w:basedOn w:val="Normal"/>
    <w:pPr>
      <w:spacing w:before="280" w:after="280"/>
    </w:pPr>
    <w:rPr>
      <w:rFonts w:ascii="Arial Unicode MS" w:eastAsia="Arial Unicode MS" w:hAnsi="Arial Unicode MS" w:cs="Arial Unicode MS"/>
      <w:i w:val="0"/>
      <w:lang w:val="es-ES"/>
    </w:rPr>
  </w:style>
  <w:style w:type="paragraph" w:customStyle="1" w:styleId="Textodebloque1">
    <w:name w:val="Texto de bloque1"/>
    <w:basedOn w:val="Normal"/>
    <w:pPr>
      <w:widowControl w:val="0"/>
      <w:ind w:left="120" w:right="-160"/>
      <w:jc w:val="both"/>
    </w:pPr>
    <w:rPr>
      <w:bCs/>
      <w:i w:val="0"/>
      <w:sz w:val="22"/>
    </w:rPr>
  </w:style>
  <w:style w:type="paragraph" w:customStyle="1" w:styleId="Contenidodelmarco">
    <w:name w:val="Contenido del marco"/>
    <w:basedOn w:val="Textoindependiente"/>
  </w:style>
  <w:style w:type="paragraph" w:styleId="Textoindependiente2">
    <w:name w:val="Body Text 2"/>
    <w:basedOn w:val="Normal"/>
    <w:rsid w:val="00DB41E9"/>
    <w:pPr>
      <w:spacing w:after="120" w:line="480" w:lineRule="auto"/>
    </w:pPr>
  </w:style>
  <w:style w:type="character" w:styleId="Refdecomentario">
    <w:name w:val="annotation reference"/>
    <w:basedOn w:val="Fuentedeprrafopredeter"/>
    <w:semiHidden/>
    <w:rsid w:val="00B76BB2"/>
    <w:rPr>
      <w:sz w:val="16"/>
      <w:szCs w:val="16"/>
    </w:rPr>
  </w:style>
  <w:style w:type="paragraph" w:styleId="Textocomentario">
    <w:name w:val="annotation text"/>
    <w:basedOn w:val="Normal"/>
    <w:semiHidden/>
    <w:rsid w:val="00B76BB2"/>
    <w:rPr>
      <w:sz w:val="20"/>
      <w:szCs w:val="20"/>
    </w:rPr>
  </w:style>
  <w:style w:type="paragraph" w:styleId="Asuntodelcomentario">
    <w:name w:val="annotation subject"/>
    <w:basedOn w:val="Textocomentario"/>
    <w:next w:val="Textocomentario"/>
    <w:semiHidden/>
    <w:rsid w:val="00B76BB2"/>
    <w:rPr>
      <w:b/>
      <w:bCs/>
    </w:rPr>
  </w:style>
  <w:style w:type="paragraph" w:styleId="Textodeglobo">
    <w:name w:val="Balloon Text"/>
    <w:basedOn w:val="Normal"/>
    <w:semiHidden/>
    <w:rsid w:val="00B76BB2"/>
    <w:rPr>
      <w:rFonts w:ascii="Tahoma" w:hAnsi="Tahoma" w:cs="Tahoma"/>
      <w:sz w:val="16"/>
      <w:szCs w:val="16"/>
    </w:rPr>
  </w:style>
  <w:style w:type="paragraph" w:customStyle="1" w:styleId="CharChar">
    <w:name w:val="Char Char"/>
    <w:basedOn w:val="Normal"/>
    <w:rsid w:val="002061C0"/>
    <w:pPr>
      <w:suppressAutoHyphens w:val="0"/>
      <w:spacing w:after="160" w:line="240" w:lineRule="exact"/>
    </w:pPr>
    <w:rPr>
      <w:rFonts w:ascii="Verdana" w:hAnsi="Verdana" w:cs="Times New Roman"/>
      <w:i w:val="0"/>
      <w:sz w:val="20"/>
      <w:szCs w:val="20"/>
      <w:lang w:val="en-US" w:eastAsia="en-US"/>
    </w:rPr>
  </w:style>
  <w:style w:type="character" w:customStyle="1" w:styleId="PiedepginaCar">
    <w:name w:val="Pie de página Car"/>
    <w:basedOn w:val="Fuentedeprrafopredeter"/>
    <w:link w:val="Piedepgina"/>
    <w:rsid w:val="00800007"/>
    <w:rPr>
      <w:rFonts w:ascii="Arial" w:hAnsi="Arial" w:cs="Arial"/>
      <w:i/>
      <w:sz w:val="24"/>
      <w:szCs w:val="24"/>
      <w:lang w:eastAsia="ar-SA"/>
    </w:rPr>
  </w:style>
  <w:style w:type="paragraph" w:styleId="Prrafodelista">
    <w:name w:val="List Paragraph"/>
    <w:basedOn w:val="Normal"/>
    <w:uiPriority w:val="34"/>
    <w:qFormat/>
    <w:rsid w:val="00695094"/>
    <w:pPr>
      <w:suppressAutoHyphens w:val="0"/>
      <w:ind w:left="720"/>
      <w:contextualSpacing/>
    </w:pPr>
    <w:rPr>
      <w:rFonts w:ascii="Times New Roman" w:hAnsi="Times New Roman" w:cs="Times New Roman"/>
      <w:i w:val="0"/>
      <w:lang w:val="es-ES" w:eastAsia="es-ES"/>
    </w:rPr>
  </w:style>
  <w:style w:type="paragraph" w:customStyle="1" w:styleId="Default">
    <w:name w:val="Default"/>
    <w:rsid w:val="00695094"/>
    <w:pPr>
      <w:autoSpaceDE w:val="0"/>
      <w:autoSpaceDN w:val="0"/>
      <w:adjustRightInd w:val="0"/>
    </w:pPr>
    <w:rPr>
      <w:rFonts w:ascii="Calibri" w:eastAsia="Calibri" w:hAnsi="Calibri" w:cs="Calibri"/>
      <w:color w:val="000000"/>
      <w:sz w:val="24"/>
      <w:szCs w:val="24"/>
      <w:lang w:val="es-ES" w:eastAsia="en-US"/>
    </w:rPr>
  </w:style>
  <w:style w:type="paragraph" w:styleId="Textonotapie">
    <w:name w:val="footnote text"/>
    <w:basedOn w:val="Normal"/>
    <w:link w:val="TextonotapieCar"/>
    <w:semiHidden/>
    <w:unhideWhenUsed/>
    <w:rsid w:val="00F13F44"/>
    <w:rPr>
      <w:sz w:val="20"/>
      <w:szCs w:val="20"/>
    </w:rPr>
  </w:style>
  <w:style w:type="character" w:customStyle="1" w:styleId="TextonotapieCar">
    <w:name w:val="Texto nota pie Car"/>
    <w:basedOn w:val="Fuentedeprrafopredeter"/>
    <w:link w:val="Textonotapie"/>
    <w:semiHidden/>
    <w:rsid w:val="00F13F44"/>
    <w:rPr>
      <w:rFonts w:ascii="Arial" w:hAnsi="Arial" w:cs="Arial"/>
      <w:i/>
      <w:lang w:eastAsia="ar-SA"/>
    </w:rPr>
  </w:style>
  <w:style w:type="character" w:styleId="Refdenotaalpie">
    <w:name w:val="footnote reference"/>
    <w:basedOn w:val="Fuentedeprrafopredeter"/>
    <w:semiHidden/>
    <w:unhideWhenUsed/>
    <w:rsid w:val="00F13F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i/>
      <w:sz w:val="24"/>
      <w:szCs w:val="24"/>
      <w:lang w:eastAsia="ar-SA"/>
    </w:rPr>
  </w:style>
  <w:style w:type="paragraph" w:styleId="Ttulo1">
    <w:name w:val="heading 1"/>
    <w:basedOn w:val="Normal"/>
    <w:next w:val="Normal"/>
    <w:qFormat/>
    <w:pPr>
      <w:keepNext/>
      <w:tabs>
        <w:tab w:val="num" w:pos="0"/>
      </w:tabs>
      <w:outlineLvl w:val="0"/>
    </w:pPr>
    <w:rPr>
      <w:b/>
      <w:bCs/>
      <w:i w:val="0"/>
      <w:iCs/>
    </w:rPr>
  </w:style>
  <w:style w:type="paragraph" w:styleId="Ttulo2">
    <w:name w:val="heading 2"/>
    <w:basedOn w:val="Normal"/>
    <w:next w:val="Normal"/>
    <w:qFormat/>
    <w:pPr>
      <w:keepNext/>
      <w:tabs>
        <w:tab w:val="num" w:pos="0"/>
      </w:tabs>
      <w:jc w:val="both"/>
      <w:outlineLvl w:val="1"/>
    </w:pPr>
    <w:rPr>
      <w:b/>
      <w:bCs/>
      <w:i w:val="0"/>
      <w:iCs/>
    </w:rPr>
  </w:style>
  <w:style w:type="paragraph" w:styleId="Ttulo3">
    <w:name w:val="heading 3"/>
    <w:basedOn w:val="Normal"/>
    <w:next w:val="Normal"/>
    <w:qFormat/>
    <w:pPr>
      <w:keepNext/>
      <w:tabs>
        <w:tab w:val="num" w:pos="0"/>
      </w:tabs>
      <w:outlineLvl w:val="2"/>
    </w:pPr>
    <w:rPr>
      <w:b/>
      <w:bCs/>
      <w:i w:val="0"/>
      <w:iCs/>
      <w:sz w:val="22"/>
    </w:rPr>
  </w:style>
  <w:style w:type="paragraph" w:styleId="Ttulo4">
    <w:name w:val="heading 4"/>
    <w:basedOn w:val="Normal"/>
    <w:next w:val="Normal"/>
    <w:qFormat/>
    <w:pPr>
      <w:keepNext/>
      <w:tabs>
        <w:tab w:val="num" w:pos="0"/>
      </w:tabs>
      <w:jc w:val="both"/>
      <w:outlineLvl w:val="3"/>
    </w:pPr>
    <w:rPr>
      <w:rFonts w:ascii="Tahoma" w:hAnsi="Tahoma" w:cs="Tahoma"/>
      <w:b/>
      <w:bCs/>
      <w:i w:val="0"/>
    </w:rPr>
  </w:style>
  <w:style w:type="paragraph" w:styleId="Ttulo5">
    <w:name w:val="heading 5"/>
    <w:basedOn w:val="Normal"/>
    <w:next w:val="Normal"/>
    <w:qFormat/>
    <w:pPr>
      <w:keepNext/>
      <w:tabs>
        <w:tab w:val="num" w:pos="0"/>
      </w:tabs>
      <w:jc w:val="both"/>
      <w:outlineLvl w:val="4"/>
    </w:pPr>
  </w:style>
  <w:style w:type="paragraph" w:styleId="Ttulo6">
    <w:name w:val="heading 6"/>
    <w:basedOn w:val="Normal"/>
    <w:next w:val="Normal"/>
    <w:qFormat/>
    <w:pPr>
      <w:keepNext/>
      <w:tabs>
        <w:tab w:val="num" w:pos="0"/>
      </w:tabs>
      <w:jc w:val="center"/>
      <w:outlineLvl w:val="5"/>
    </w:pPr>
    <w:rPr>
      <w:b/>
      <w:bCs/>
      <w:i w:val="0"/>
    </w:rPr>
  </w:style>
  <w:style w:type="paragraph" w:styleId="Ttulo7">
    <w:name w:val="heading 7"/>
    <w:basedOn w:val="Normal"/>
    <w:next w:val="Normal"/>
    <w:qFormat/>
    <w:pPr>
      <w:keepNext/>
      <w:tabs>
        <w:tab w:val="num" w:pos="0"/>
      </w:tabs>
      <w:outlineLvl w:val="6"/>
    </w:pPr>
    <w:rPr>
      <w:b/>
      <w:bCs/>
      <w:i w:val="0"/>
      <w:iCs/>
      <w:sz w:val="16"/>
    </w:rPr>
  </w:style>
  <w:style w:type="paragraph" w:styleId="Ttulo8">
    <w:name w:val="heading 8"/>
    <w:basedOn w:val="Normal"/>
    <w:next w:val="Normal"/>
    <w:qFormat/>
    <w:pPr>
      <w:keepNext/>
      <w:tabs>
        <w:tab w:val="num" w:pos="0"/>
      </w:tabs>
      <w:jc w:val="both"/>
      <w:outlineLvl w:val="7"/>
    </w:pPr>
    <w:rPr>
      <w:b/>
      <w:bCs/>
      <w:i w:val="0"/>
      <w:iCs/>
      <w:sz w:val="22"/>
    </w:rPr>
  </w:style>
  <w:style w:type="paragraph" w:styleId="Ttulo9">
    <w:name w:val="heading 9"/>
    <w:basedOn w:val="Normal"/>
    <w:next w:val="Normal"/>
    <w:qFormat/>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character" w:styleId="Hipervnculovisitado">
    <w:name w:val="FollowedHyperlink"/>
    <w:basedOn w:val="Fuentedeprrafopredeter1"/>
    <w:rPr>
      <w:color w:val="800080"/>
      <w:u w:val="single"/>
    </w:rPr>
  </w:style>
  <w:style w:type="character" w:styleId="Nmerodepgina">
    <w:name w:val="page number"/>
    <w:basedOn w:val="Fuentedeprrafopredeter1"/>
  </w:style>
  <w:style w:type="paragraph" w:customStyle="1" w:styleId="Encabezado2">
    <w:name w:val="Encabezado2"/>
    <w:basedOn w:val="Normal"/>
    <w:next w:val="Textoindependiente"/>
    <w:pPr>
      <w:keepNext/>
      <w:spacing w:before="240" w:after="120"/>
    </w:pPr>
    <w:rPr>
      <w:rFonts w:eastAsia="Arial Unicode MS" w:cs="Tahoma"/>
      <w:sz w:val="28"/>
      <w:szCs w:val="28"/>
    </w:rPr>
  </w:style>
  <w:style w:type="paragraph" w:styleId="Textoindependiente">
    <w:name w:val="Body Text"/>
    <w:basedOn w:val="Normal"/>
    <w:pPr>
      <w:jc w:val="both"/>
    </w:pPr>
    <w:rPr>
      <w:i w:val="0"/>
      <w:iC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eastAsia="Arial Unicode MS" w:cs="Tahoma"/>
      <w:sz w:val="28"/>
      <w:szCs w:val="28"/>
    </w:rPr>
  </w:style>
  <w:style w:type="paragraph" w:styleId="Direccinsobre">
    <w:name w:val="envelope address"/>
    <w:basedOn w:val="Normal"/>
    <w:pPr>
      <w:ind w:left="2880"/>
    </w:pPr>
    <w:rPr>
      <w:rFonts w:ascii="Monotype Corsiva" w:hAnsi="Monotype Corsiva"/>
      <w:b/>
      <w:i w:val="0"/>
      <w:sz w:val="36"/>
    </w:rPr>
  </w:style>
  <w:style w:type="paragraph" w:customStyle="1" w:styleId="Textoindependiente21">
    <w:name w:val="Texto independiente 21"/>
    <w:basedOn w:val="Normal"/>
    <w:pPr>
      <w:jc w:val="both"/>
    </w:pPr>
    <w:rPr>
      <w:i w:val="0"/>
      <w:iCs/>
      <w:sz w:val="22"/>
    </w:rPr>
  </w:style>
  <w:style w:type="paragraph" w:styleId="Encabezado">
    <w:name w:val="header"/>
    <w:basedOn w:val="Normal"/>
    <w:pPr>
      <w:tabs>
        <w:tab w:val="center" w:pos="4252"/>
        <w:tab w:val="right" w:pos="8504"/>
      </w:tabs>
    </w:pPr>
    <w:rPr>
      <w:rFonts w:cs="Times New Roman"/>
      <w:i w:val="0"/>
    </w:rPr>
  </w:style>
  <w:style w:type="paragraph" w:styleId="Piedepgina">
    <w:name w:val="footer"/>
    <w:basedOn w:val="Normal"/>
    <w:link w:val="PiedepginaCar"/>
    <w:pPr>
      <w:tabs>
        <w:tab w:val="center" w:pos="4419"/>
        <w:tab w:val="right" w:pos="8838"/>
      </w:tabs>
    </w:pPr>
  </w:style>
  <w:style w:type="paragraph" w:styleId="Ttulo">
    <w:name w:val="Title"/>
    <w:basedOn w:val="Normal"/>
    <w:next w:val="Subttulo"/>
    <w:qFormat/>
    <w:pPr>
      <w:jc w:val="center"/>
    </w:pPr>
    <w:rPr>
      <w:b/>
      <w:bCs/>
      <w:i w:val="0"/>
    </w:rPr>
  </w:style>
  <w:style w:type="paragraph" w:styleId="Subttulo">
    <w:name w:val="Subtitle"/>
    <w:basedOn w:val="Normal"/>
    <w:next w:val="Textoindependiente"/>
    <w:qFormat/>
    <w:pPr>
      <w:jc w:val="center"/>
    </w:pPr>
    <w:rPr>
      <w:rFonts w:ascii="Comic Sans MS" w:hAnsi="Comic Sans MS" w:cs="Times New Roman"/>
      <w:b/>
      <w:i w:val="0"/>
      <w:szCs w:val="20"/>
      <w:lang w:val="en-US"/>
    </w:rPr>
  </w:style>
  <w:style w:type="paragraph" w:styleId="Sangradetextonormal">
    <w:name w:val="Body Text Indent"/>
    <w:basedOn w:val="Normal"/>
    <w:pPr>
      <w:ind w:left="720"/>
      <w:jc w:val="both"/>
    </w:pPr>
    <w:rPr>
      <w:i w:val="0"/>
      <w:iCs/>
    </w:rPr>
  </w:style>
  <w:style w:type="paragraph" w:customStyle="1" w:styleId="Sangra2detindependiente1">
    <w:name w:val="Sangría 2 de t. independiente1"/>
    <w:basedOn w:val="Normal"/>
    <w:pPr>
      <w:ind w:left="2124" w:firstLine="708"/>
      <w:jc w:val="right"/>
    </w:pPr>
    <w:rPr>
      <w:i w:val="0"/>
    </w:rPr>
  </w:style>
  <w:style w:type="paragraph" w:customStyle="1" w:styleId="Sangra3detindependiente1">
    <w:name w:val="Sangría 3 de t. independiente1"/>
    <w:basedOn w:val="Normal"/>
    <w:pPr>
      <w:ind w:left="60"/>
      <w:jc w:val="both"/>
    </w:pPr>
    <w:rPr>
      <w:i w:val="0"/>
      <w:iCs/>
      <w:sz w:val="22"/>
    </w:rPr>
  </w:style>
  <w:style w:type="paragraph" w:customStyle="1" w:styleId="Textoindependiente31">
    <w:name w:val="Texto independiente 31"/>
    <w:basedOn w:val="Normal"/>
    <w:pPr>
      <w:jc w:val="both"/>
    </w:pPr>
    <w:rPr>
      <w:sz w:val="22"/>
    </w:rPr>
  </w:style>
  <w:style w:type="paragraph" w:customStyle="1" w:styleId="Saludo1">
    <w:name w:val="Saludo1"/>
    <w:basedOn w:val="Normal"/>
    <w:next w:val="Normal"/>
    <w:rPr>
      <w:rFonts w:cs="Times New Roman"/>
      <w:i w:val="0"/>
      <w:sz w:val="20"/>
      <w:szCs w:val="20"/>
      <w:lang w:val="es-ES"/>
    </w:rPr>
  </w:style>
  <w:style w:type="paragraph" w:customStyle="1" w:styleId="xl24">
    <w:name w:val="xl24"/>
    <w:basedOn w:val="Normal"/>
    <w:pPr>
      <w:pBdr>
        <w:top w:val="single" w:sz="8" w:space="0" w:color="000000"/>
        <w:left w:val="single" w:sz="8" w:space="0" w:color="000000"/>
      </w:pBdr>
      <w:spacing w:before="280" w:after="280"/>
      <w:jc w:val="center"/>
      <w:textAlignment w:val="top"/>
    </w:pPr>
    <w:rPr>
      <w:rFonts w:eastAsia="Arial Unicode MS"/>
      <w:b/>
      <w:bCs/>
      <w:i w:val="0"/>
      <w:sz w:val="22"/>
      <w:szCs w:val="22"/>
      <w:lang w:val="es-ES"/>
    </w:rPr>
  </w:style>
  <w:style w:type="paragraph" w:customStyle="1" w:styleId="xl25">
    <w:name w:val="xl25"/>
    <w:basedOn w:val="Normal"/>
    <w:pPr>
      <w:pBdr>
        <w:top w:val="single" w:sz="8" w:space="0" w:color="000000"/>
      </w:pBdr>
      <w:spacing w:before="280" w:after="280"/>
      <w:jc w:val="center"/>
      <w:textAlignment w:val="top"/>
    </w:pPr>
    <w:rPr>
      <w:rFonts w:eastAsia="Arial Unicode MS"/>
      <w:b/>
      <w:bCs/>
      <w:i w:val="0"/>
      <w:sz w:val="22"/>
      <w:szCs w:val="22"/>
      <w:lang w:val="es-ES"/>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b/>
      <w:bCs/>
      <w:i w:val="0"/>
      <w:sz w:val="22"/>
      <w:szCs w:val="22"/>
      <w:lang w:val="es-ES"/>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b/>
      <w:bCs/>
      <w:i w:val="0"/>
      <w:sz w:val="22"/>
      <w:szCs w:val="22"/>
      <w:lang w:val="es-ES"/>
    </w:rPr>
  </w:style>
  <w:style w:type="paragraph" w:customStyle="1" w:styleId="xl31">
    <w:name w:val="xl31"/>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32">
    <w:name w:val="xl32"/>
    <w:basedOn w:val="Normal"/>
    <w:pPr>
      <w:pBdr>
        <w:top w:val="single" w:sz="4" w:space="0" w:color="000000"/>
        <w:left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33">
    <w:name w:val="xl33"/>
    <w:basedOn w:val="Normal"/>
    <w:pPr>
      <w:pBdr>
        <w:top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34">
    <w:name w:val="xl34"/>
    <w:basedOn w:val="Normal"/>
    <w:pPr>
      <w:pBdr>
        <w:top w:val="single" w:sz="4" w:space="0" w:color="000000"/>
        <w:bottom w:val="single" w:sz="4" w:space="0" w:color="000000"/>
        <w:right w:val="single" w:sz="4" w:space="0" w:color="000000"/>
      </w:pBdr>
      <w:spacing w:before="280" w:after="280"/>
    </w:pPr>
    <w:rPr>
      <w:rFonts w:eastAsia="Arial Unicode MS"/>
      <w:b/>
      <w:bCs/>
      <w:i w:val="0"/>
      <w:sz w:val="22"/>
      <w:szCs w:val="22"/>
      <w:lang w:val="es-ES"/>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Arial Unicode MS"/>
      <w:b/>
      <w:bCs/>
      <w:i w:val="0"/>
      <w:sz w:val="22"/>
      <w:szCs w:val="22"/>
      <w:lang w:val="es-ES"/>
    </w:rPr>
  </w:style>
  <w:style w:type="paragraph" w:styleId="NormalWeb">
    <w:name w:val="Normal (Web)"/>
    <w:basedOn w:val="Normal"/>
    <w:pPr>
      <w:spacing w:before="280" w:after="280"/>
    </w:pPr>
    <w:rPr>
      <w:rFonts w:ascii="Arial Unicode MS" w:eastAsia="Arial Unicode MS" w:hAnsi="Arial Unicode MS" w:cs="Arial Unicode MS"/>
      <w:i w:val="0"/>
      <w:lang w:val="es-ES"/>
    </w:rPr>
  </w:style>
  <w:style w:type="paragraph" w:customStyle="1" w:styleId="Textodebloque1">
    <w:name w:val="Texto de bloque1"/>
    <w:basedOn w:val="Normal"/>
    <w:pPr>
      <w:widowControl w:val="0"/>
      <w:ind w:left="120" w:right="-160"/>
      <w:jc w:val="both"/>
    </w:pPr>
    <w:rPr>
      <w:bCs/>
      <w:i w:val="0"/>
      <w:sz w:val="22"/>
    </w:rPr>
  </w:style>
  <w:style w:type="paragraph" w:customStyle="1" w:styleId="Contenidodelmarco">
    <w:name w:val="Contenido del marco"/>
    <w:basedOn w:val="Textoindependiente"/>
  </w:style>
  <w:style w:type="paragraph" w:styleId="Textoindependiente2">
    <w:name w:val="Body Text 2"/>
    <w:basedOn w:val="Normal"/>
    <w:rsid w:val="00DB41E9"/>
    <w:pPr>
      <w:spacing w:after="120" w:line="480" w:lineRule="auto"/>
    </w:pPr>
  </w:style>
  <w:style w:type="character" w:styleId="Refdecomentario">
    <w:name w:val="annotation reference"/>
    <w:basedOn w:val="Fuentedeprrafopredeter"/>
    <w:semiHidden/>
    <w:rsid w:val="00B76BB2"/>
    <w:rPr>
      <w:sz w:val="16"/>
      <w:szCs w:val="16"/>
    </w:rPr>
  </w:style>
  <w:style w:type="paragraph" w:styleId="Textocomentario">
    <w:name w:val="annotation text"/>
    <w:basedOn w:val="Normal"/>
    <w:semiHidden/>
    <w:rsid w:val="00B76BB2"/>
    <w:rPr>
      <w:sz w:val="20"/>
      <w:szCs w:val="20"/>
    </w:rPr>
  </w:style>
  <w:style w:type="paragraph" w:styleId="Asuntodelcomentario">
    <w:name w:val="annotation subject"/>
    <w:basedOn w:val="Textocomentario"/>
    <w:next w:val="Textocomentario"/>
    <w:semiHidden/>
    <w:rsid w:val="00B76BB2"/>
    <w:rPr>
      <w:b/>
      <w:bCs/>
    </w:rPr>
  </w:style>
  <w:style w:type="paragraph" w:styleId="Textodeglobo">
    <w:name w:val="Balloon Text"/>
    <w:basedOn w:val="Normal"/>
    <w:semiHidden/>
    <w:rsid w:val="00B76BB2"/>
    <w:rPr>
      <w:rFonts w:ascii="Tahoma" w:hAnsi="Tahoma" w:cs="Tahoma"/>
      <w:sz w:val="16"/>
      <w:szCs w:val="16"/>
    </w:rPr>
  </w:style>
  <w:style w:type="paragraph" w:customStyle="1" w:styleId="CharChar">
    <w:name w:val="Char Char"/>
    <w:basedOn w:val="Normal"/>
    <w:rsid w:val="002061C0"/>
    <w:pPr>
      <w:suppressAutoHyphens w:val="0"/>
      <w:spacing w:after="160" w:line="240" w:lineRule="exact"/>
    </w:pPr>
    <w:rPr>
      <w:rFonts w:ascii="Verdana" w:hAnsi="Verdana" w:cs="Times New Roman"/>
      <w:i w:val="0"/>
      <w:sz w:val="20"/>
      <w:szCs w:val="20"/>
      <w:lang w:val="en-US" w:eastAsia="en-US"/>
    </w:rPr>
  </w:style>
  <w:style w:type="character" w:customStyle="1" w:styleId="PiedepginaCar">
    <w:name w:val="Pie de página Car"/>
    <w:basedOn w:val="Fuentedeprrafopredeter"/>
    <w:link w:val="Piedepgina"/>
    <w:rsid w:val="00800007"/>
    <w:rPr>
      <w:rFonts w:ascii="Arial" w:hAnsi="Arial" w:cs="Arial"/>
      <w:i/>
      <w:sz w:val="24"/>
      <w:szCs w:val="24"/>
      <w:lang w:eastAsia="ar-SA"/>
    </w:rPr>
  </w:style>
  <w:style w:type="paragraph" w:styleId="Prrafodelista">
    <w:name w:val="List Paragraph"/>
    <w:basedOn w:val="Normal"/>
    <w:uiPriority w:val="34"/>
    <w:qFormat/>
    <w:rsid w:val="00695094"/>
    <w:pPr>
      <w:suppressAutoHyphens w:val="0"/>
      <w:ind w:left="720"/>
      <w:contextualSpacing/>
    </w:pPr>
    <w:rPr>
      <w:rFonts w:ascii="Times New Roman" w:hAnsi="Times New Roman" w:cs="Times New Roman"/>
      <w:i w:val="0"/>
      <w:lang w:val="es-ES" w:eastAsia="es-ES"/>
    </w:rPr>
  </w:style>
  <w:style w:type="paragraph" w:customStyle="1" w:styleId="Default">
    <w:name w:val="Default"/>
    <w:rsid w:val="00695094"/>
    <w:pPr>
      <w:autoSpaceDE w:val="0"/>
      <w:autoSpaceDN w:val="0"/>
      <w:adjustRightInd w:val="0"/>
    </w:pPr>
    <w:rPr>
      <w:rFonts w:ascii="Calibri" w:eastAsia="Calibri" w:hAnsi="Calibri" w:cs="Calibri"/>
      <w:color w:val="000000"/>
      <w:sz w:val="24"/>
      <w:szCs w:val="24"/>
      <w:lang w:val="es-ES" w:eastAsia="en-US"/>
    </w:rPr>
  </w:style>
  <w:style w:type="paragraph" w:styleId="Textonotapie">
    <w:name w:val="footnote text"/>
    <w:basedOn w:val="Normal"/>
    <w:link w:val="TextonotapieCar"/>
    <w:semiHidden/>
    <w:unhideWhenUsed/>
    <w:rsid w:val="00F13F44"/>
    <w:rPr>
      <w:sz w:val="20"/>
      <w:szCs w:val="20"/>
    </w:rPr>
  </w:style>
  <w:style w:type="character" w:customStyle="1" w:styleId="TextonotapieCar">
    <w:name w:val="Texto nota pie Car"/>
    <w:basedOn w:val="Fuentedeprrafopredeter"/>
    <w:link w:val="Textonotapie"/>
    <w:semiHidden/>
    <w:rsid w:val="00F13F44"/>
    <w:rPr>
      <w:rFonts w:ascii="Arial" w:hAnsi="Arial" w:cs="Arial"/>
      <w:i/>
      <w:lang w:eastAsia="ar-SA"/>
    </w:rPr>
  </w:style>
  <w:style w:type="character" w:styleId="Refdenotaalpie">
    <w:name w:val="footnote reference"/>
    <w:basedOn w:val="Fuentedeprrafopredeter"/>
    <w:semiHidden/>
    <w:unhideWhenUsed/>
    <w:rsid w:val="00F13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porteesfa-grupo1@supersolidaria.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CED0-A845-4001-A101-846BD698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2494</Words>
  <Characters>13717</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vt:lpstr>
      <vt:lpstr>TH</vt:lpstr>
    </vt:vector>
  </TitlesOfParts>
  <Company>Supersolidaria</Company>
  <LinksUpToDate>false</LinksUpToDate>
  <CharactersWithSpaces>16179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sdiaz</cp:lastModifiedBy>
  <cp:revision>2</cp:revision>
  <cp:lastPrinted>2007-11-17T22:44:00Z</cp:lastPrinted>
  <dcterms:created xsi:type="dcterms:W3CDTF">2014-08-01T20:15:00Z</dcterms:created>
  <dcterms:modified xsi:type="dcterms:W3CDTF">2014-08-01T20:15:00Z</dcterms:modified>
</cp:coreProperties>
</file>