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AA2DB" w14:textId="77777777" w:rsidR="005142DB" w:rsidRDefault="009F315A">
      <w:pPr>
        <w:pStyle w:val="Ttulo1"/>
        <w:keepNext w:val="0"/>
        <w:spacing w:before="480" w:after="120"/>
        <w:jc w:val="center"/>
        <w:rPr>
          <w:rFonts w:ascii="Verdana" w:eastAsia="Verdana" w:hAnsi="Verdana" w:cs="Verdana"/>
          <w:sz w:val="22"/>
          <w:szCs w:val="22"/>
        </w:rPr>
      </w:pPr>
      <w:bookmarkStart w:id="0" w:name="_heading=h.8cqh3kf0ij96" w:colFirst="0" w:colLast="0"/>
      <w:bookmarkEnd w:id="0"/>
      <w:r>
        <w:rPr>
          <w:rFonts w:ascii="Verdana" w:eastAsia="Verdana" w:hAnsi="Verdana" w:cs="Verdana"/>
          <w:sz w:val="22"/>
          <w:szCs w:val="22"/>
        </w:rPr>
        <w:t>CIRCULAR EXTERNA No. XXX</w:t>
      </w:r>
    </w:p>
    <w:p w14:paraId="1936A4B8"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tbl>
      <w:tblPr>
        <w:tblStyle w:val="a"/>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5"/>
        <w:gridCol w:w="7140"/>
      </w:tblGrid>
      <w:tr w:rsidR="005142DB" w14:paraId="5DC49309" w14:textId="77777777">
        <w:trPr>
          <w:trHeight w:val="1335"/>
        </w:trPr>
        <w:tc>
          <w:tcPr>
            <w:tcW w:w="1695" w:type="dxa"/>
            <w:tcBorders>
              <w:top w:val="nil"/>
              <w:left w:val="nil"/>
              <w:bottom w:val="nil"/>
              <w:right w:val="nil"/>
            </w:tcBorders>
            <w:tcMar>
              <w:top w:w="0" w:type="dxa"/>
              <w:left w:w="100" w:type="dxa"/>
              <w:bottom w:w="0" w:type="dxa"/>
              <w:right w:w="100" w:type="dxa"/>
            </w:tcMar>
          </w:tcPr>
          <w:p w14:paraId="6059F5AB"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PARA:</w:t>
            </w:r>
          </w:p>
          <w:p w14:paraId="76327E41"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0A227B5A"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67E2E95C"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tc>
        <w:tc>
          <w:tcPr>
            <w:tcW w:w="7140" w:type="dxa"/>
            <w:tcBorders>
              <w:top w:val="nil"/>
              <w:left w:val="nil"/>
              <w:bottom w:val="nil"/>
              <w:right w:val="nil"/>
            </w:tcBorders>
            <w:tcMar>
              <w:top w:w="0" w:type="dxa"/>
              <w:left w:w="100" w:type="dxa"/>
              <w:bottom w:w="0" w:type="dxa"/>
              <w:right w:w="100" w:type="dxa"/>
            </w:tcMar>
          </w:tcPr>
          <w:p w14:paraId="071F5B12"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REPRESENTANTES LEGALES, MIEMBROS DEL CONSEJO DE ADMINISTRACIÓN, JUNTAS DIRECTIVAS Y REVISORES FISCALES DE LAS ORGANIZACIONES DE LA ECONOMÍA SOLIDARIA VIGILADAS</w:t>
            </w:r>
          </w:p>
          <w:p w14:paraId="58F5838D"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tc>
      </w:tr>
      <w:tr w:rsidR="005142DB" w14:paraId="64BEEDA1" w14:textId="77777777">
        <w:trPr>
          <w:trHeight w:val="540"/>
        </w:trPr>
        <w:tc>
          <w:tcPr>
            <w:tcW w:w="1695" w:type="dxa"/>
            <w:tcBorders>
              <w:top w:val="nil"/>
              <w:left w:val="nil"/>
              <w:bottom w:val="nil"/>
              <w:right w:val="nil"/>
            </w:tcBorders>
            <w:tcMar>
              <w:top w:w="0" w:type="dxa"/>
              <w:left w:w="100" w:type="dxa"/>
              <w:bottom w:w="0" w:type="dxa"/>
              <w:right w:w="100" w:type="dxa"/>
            </w:tcMar>
          </w:tcPr>
          <w:p w14:paraId="59499FCD"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DE:</w:t>
            </w:r>
          </w:p>
        </w:tc>
        <w:tc>
          <w:tcPr>
            <w:tcW w:w="7140" w:type="dxa"/>
            <w:tcBorders>
              <w:top w:val="nil"/>
              <w:left w:val="nil"/>
              <w:bottom w:val="nil"/>
              <w:right w:val="nil"/>
            </w:tcBorders>
            <w:tcMar>
              <w:top w:w="0" w:type="dxa"/>
              <w:left w:w="100" w:type="dxa"/>
              <w:bottom w:w="0" w:type="dxa"/>
              <w:right w:w="100" w:type="dxa"/>
            </w:tcMar>
          </w:tcPr>
          <w:p w14:paraId="78846C03" w14:textId="4CFDACE3" w:rsidR="005142DB" w:rsidRDefault="008A40A4">
            <w:pPr>
              <w:rPr>
                <w:rFonts w:ascii="Verdana" w:eastAsia="Verdana" w:hAnsi="Verdana" w:cs="Verdana"/>
                <w:b/>
                <w:bCs/>
                <w:i w:val="0"/>
                <w:iCs w:val="0"/>
                <w:sz w:val="22"/>
                <w:szCs w:val="22"/>
              </w:rPr>
            </w:pPr>
            <w:r w:rsidRPr="008A40A4">
              <w:rPr>
                <w:rFonts w:ascii="Verdana" w:eastAsia="Verdana" w:hAnsi="Verdana" w:cs="Verdana"/>
                <w:b/>
                <w:bCs/>
                <w:i w:val="0"/>
                <w:iCs w:val="0"/>
                <w:sz w:val="22"/>
                <w:szCs w:val="22"/>
              </w:rPr>
              <w:t xml:space="preserve">SUPERINTENDENTA </w:t>
            </w:r>
            <w:r>
              <w:rPr>
                <w:rFonts w:ascii="Verdana" w:eastAsia="Verdana" w:hAnsi="Verdana" w:cs="Verdana"/>
                <w:b/>
                <w:bCs/>
                <w:i w:val="0"/>
                <w:iCs w:val="0"/>
                <w:sz w:val="22"/>
                <w:szCs w:val="22"/>
              </w:rPr>
              <w:t xml:space="preserve">(E) </w:t>
            </w:r>
            <w:r w:rsidRPr="008A40A4">
              <w:rPr>
                <w:rFonts w:ascii="Verdana" w:eastAsia="Verdana" w:hAnsi="Verdana" w:cs="Verdana"/>
                <w:b/>
                <w:bCs/>
                <w:i w:val="0"/>
                <w:iCs w:val="0"/>
                <w:sz w:val="22"/>
                <w:szCs w:val="22"/>
              </w:rPr>
              <w:t>DE LA ECONOMÍA SOLIDARIA</w:t>
            </w:r>
          </w:p>
          <w:p w14:paraId="0B30A88D"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tc>
      </w:tr>
      <w:tr w:rsidR="005142DB" w14:paraId="1F3B30EC" w14:textId="77777777">
        <w:trPr>
          <w:trHeight w:val="1335"/>
        </w:trPr>
        <w:tc>
          <w:tcPr>
            <w:tcW w:w="1695" w:type="dxa"/>
            <w:tcBorders>
              <w:top w:val="nil"/>
              <w:left w:val="nil"/>
              <w:bottom w:val="nil"/>
              <w:right w:val="nil"/>
            </w:tcBorders>
            <w:tcMar>
              <w:top w:w="0" w:type="dxa"/>
              <w:left w:w="100" w:type="dxa"/>
              <w:bottom w:w="0" w:type="dxa"/>
              <w:right w:w="100" w:type="dxa"/>
            </w:tcMar>
          </w:tcPr>
          <w:p w14:paraId="0BAF337A"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ASUNTO:</w:t>
            </w:r>
          </w:p>
        </w:tc>
        <w:tc>
          <w:tcPr>
            <w:tcW w:w="7140" w:type="dxa"/>
            <w:tcBorders>
              <w:top w:val="nil"/>
              <w:left w:val="nil"/>
              <w:bottom w:val="nil"/>
              <w:right w:val="nil"/>
            </w:tcBorders>
            <w:tcMar>
              <w:top w:w="0" w:type="dxa"/>
              <w:left w:w="100" w:type="dxa"/>
              <w:bottom w:w="0" w:type="dxa"/>
              <w:right w:w="100" w:type="dxa"/>
            </w:tcMar>
          </w:tcPr>
          <w:p w14:paraId="5B5677B5"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INSTRUCCIONES ESPECIALES PARA AFRONTAR LA SITUACIÓN DE DESASTRE NACIONAL DECLARADA MEDIANTE EL DECRETO 1171 DEL 11 DE AGOSTO DE 2026.</w:t>
            </w:r>
          </w:p>
        </w:tc>
      </w:tr>
      <w:tr w:rsidR="005142DB" w14:paraId="3D88774F" w14:textId="77777777">
        <w:trPr>
          <w:trHeight w:val="795"/>
        </w:trPr>
        <w:tc>
          <w:tcPr>
            <w:tcW w:w="1695" w:type="dxa"/>
            <w:tcBorders>
              <w:top w:val="nil"/>
              <w:left w:val="nil"/>
              <w:bottom w:val="nil"/>
              <w:right w:val="nil"/>
            </w:tcBorders>
            <w:tcMar>
              <w:top w:w="0" w:type="dxa"/>
              <w:left w:w="100" w:type="dxa"/>
              <w:bottom w:w="0" w:type="dxa"/>
              <w:right w:w="100" w:type="dxa"/>
            </w:tcMar>
          </w:tcPr>
          <w:p w14:paraId="3CD0A33A"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2B12CB94"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FECHA:</w:t>
            </w:r>
          </w:p>
        </w:tc>
        <w:tc>
          <w:tcPr>
            <w:tcW w:w="7140" w:type="dxa"/>
            <w:tcBorders>
              <w:top w:val="nil"/>
              <w:left w:val="nil"/>
              <w:bottom w:val="nil"/>
              <w:right w:val="nil"/>
            </w:tcBorders>
            <w:tcMar>
              <w:top w:w="0" w:type="dxa"/>
              <w:left w:w="100" w:type="dxa"/>
              <w:bottom w:w="0" w:type="dxa"/>
              <w:right w:w="100" w:type="dxa"/>
            </w:tcMar>
          </w:tcPr>
          <w:p w14:paraId="0B18A8A3"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4C0A2DB6"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Bogotá D.C, </w:t>
            </w:r>
          </w:p>
        </w:tc>
      </w:tr>
    </w:tbl>
    <w:p w14:paraId="3755E386"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75064CA4" w14:textId="77777777" w:rsidR="005142DB" w:rsidRDefault="009F315A">
      <w:pPr>
        <w:rPr>
          <w:rFonts w:ascii="Verdana" w:eastAsia="Verdana" w:hAnsi="Verdana" w:cs="Verdana"/>
          <w:b/>
          <w:bCs/>
          <w:i w:val="0"/>
          <w:iCs w:val="0"/>
          <w:sz w:val="22"/>
          <w:szCs w:val="22"/>
        </w:rPr>
      </w:pPr>
      <w:r>
        <w:rPr>
          <w:rFonts w:ascii="Verdana" w:eastAsia="Verdana" w:hAnsi="Verdana" w:cs="Verdana"/>
          <w:b/>
          <w:bCs/>
          <w:i w:val="0"/>
          <w:iCs w:val="0"/>
          <w:sz w:val="22"/>
          <w:szCs w:val="22"/>
        </w:rPr>
        <w:br/>
      </w:r>
    </w:p>
    <w:p w14:paraId="0DB71BEE" w14:textId="77777777" w:rsidR="005142DB" w:rsidRDefault="009F315A">
      <w:pPr>
        <w:rPr>
          <w:rFonts w:ascii="Verdana" w:eastAsia="Verdana" w:hAnsi="Verdana" w:cs="Verdana"/>
          <w:i w:val="0"/>
          <w:iCs w:val="0"/>
          <w:sz w:val="18"/>
          <w:szCs w:val="18"/>
        </w:rPr>
      </w:pPr>
      <w:r>
        <w:rPr>
          <w:rFonts w:ascii="Verdana" w:eastAsia="Verdana" w:hAnsi="Verdana" w:cs="Verdana"/>
          <w:i w:val="0"/>
          <w:iCs w:val="0"/>
          <w:sz w:val="18"/>
          <w:szCs w:val="18"/>
        </w:rPr>
        <w:t xml:space="preserve">   - Circular No. XX                                                                                    </w:t>
      </w:r>
      <w:r>
        <w:rPr>
          <w:rFonts w:ascii="Verdana" w:eastAsia="Verdana" w:hAnsi="Verdana" w:cs="Verdana"/>
          <w:i w:val="0"/>
          <w:iCs w:val="0"/>
          <w:sz w:val="18"/>
          <w:szCs w:val="18"/>
        </w:rPr>
        <w:tab/>
        <w:t>Página 1 de 1</w:t>
      </w:r>
    </w:p>
    <w:p w14:paraId="44B71FC0"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4049DB9F"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6C7B388D"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Considerando que mediante Decreto 1171 del 11 de agosto de 2026 el Gobierno Nacional declaró la situación de desastre nacional para los departamentos de Antioquia, Caldas, Cauca, Chocó, Quindío, Cundinamarca, Risaralda, Huila, Valle del Cauca, Tolima, Putumayo, Norte de Santander y demás afectados por el evento sísmico del pasado 10 de agosto de 2026 con epicentro en el municipio de San José del Palmar (Chocó), en donde se han reportado personas afectadas, fallecidos, familias damnificadas, infraestructura destruida, daños en acueductos y viviendas, falta de comunicación y conectividad, entre otros.</w:t>
      </w:r>
    </w:p>
    <w:p w14:paraId="4E35789A" w14:textId="77777777" w:rsidR="005142DB" w:rsidRDefault="005142DB">
      <w:pPr>
        <w:jc w:val="both"/>
        <w:rPr>
          <w:rFonts w:ascii="Verdana" w:eastAsia="Verdana" w:hAnsi="Verdana" w:cs="Verdana"/>
          <w:i w:val="0"/>
          <w:iCs w:val="0"/>
          <w:sz w:val="22"/>
          <w:szCs w:val="22"/>
        </w:rPr>
      </w:pPr>
    </w:p>
    <w:p w14:paraId="74607DB0"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Que, en ese orden de ideas, en los departamentos antes relacionados funcionan empresas solidarias vigiladas, que pueden verse impactadas  en el normal desarrollo de sus actividades, respecto de las obligaciones de reporte de información financiera, estadística y administrativa ante esta Superintendencia, y que los asociados a las mismas, de igual manera han resultado directamente afectados, resulta necesario adoptar medidas transitorias que permitan garantizar un cumplimiento adecuado de dichas obligaciones, tanto para las entidades vigiladas sin afectar la calidad, integridad y confiabilidad de la información requerida para el ejercicio de las funciones de inspección, vigilancia y control, como para los asociados respecto a las obligaciones crediticias.</w:t>
      </w:r>
    </w:p>
    <w:p w14:paraId="34C2CFA9" w14:textId="77777777" w:rsidR="005142DB" w:rsidRDefault="005142DB">
      <w:pPr>
        <w:jc w:val="both"/>
        <w:rPr>
          <w:rFonts w:ascii="Verdana" w:eastAsia="Verdana" w:hAnsi="Verdana" w:cs="Verdana"/>
          <w:i w:val="0"/>
          <w:iCs w:val="0"/>
          <w:color w:val="0000FF"/>
          <w:sz w:val="22"/>
          <w:szCs w:val="22"/>
        </w:rPr>
      </w:pPr>
    </w:p>
    <w:p w14:paraId="30A550A6"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lastRenderedPageBreak/>
        <w:t>Así las cosas, en virtud de las facultades previstas en los artículos 34 y 36 de la Ley 454 de 1998, en especial la contenida en el numeral 22 del artículo 36, esta Superintendencia imparte las siguientes instrucciones transitorias:</w:t>
      </w:r>
    </w:p>
    <w:p w14:paraId="5113CA5E"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7F475EB9"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Primera:</w:t>
      </w:r>
      <w:r>
        <w:rPr>
          <w:rFonts w:ascii="Verdana" w:eastAsia="Verdana" w:hAnsi="Verdana" w:cs="Verdana"/>
          <w:i w:val="0"/>
          <w:iCs w:val="0"/>
          <w:sz w:val="22"/>
          <w:szCs w:val="22"/>
        </w:rPr>
        <w:t xml:space="preserve"> </w:t>
      </w:r>
      <w:r>
        <w:rPr>
          <w:rFonts w:ascii="Verdana" w:eastAsia="Verdana" w:hAnsi="Verdana" w:cs="Verdana"/>
          <w:b/>
          <w:bCs/>
          <w:i w:val="0"/>
          <w:iCs w:val="0"/>
          <w:sz w:val="22"/>
          <w:szCs w:val="22"/>
        </w:rPr>
        <w:t>Ampliación transitoria del plazo para el reporte de información.</w:t>
      </w:r>
    </w:p>
    <w:p w14:paraId="7009D298"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43E106EE"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Ampliar el plazo establecido en el numeral 6.2.2 del Capítulo I del Título II de la Circular Básica Contable y Financiera para el reporte de información financiera de las empresas solidaria que tengan domicilio principal en los departamentos señalados en el artículo 1 del Decreto 1171 del 11 de agosto de 2026, así:</w:t>
      </w:r>
    </w:p>
    <w:p w14:paraId="2AD3C017" w14:textId="77777777" w:rsidR="005142DB" w:rsidRDefault="005142DB">
      <w:pPr>
        <w:jc w:val="both"/>
        <w:rPr>
          <w:rFonts w:ascii="Verdana" w:eastAsia="Verdana" w:hAnsi="Verdana" w:cs="Verdana"/>
          <w:i w:val="0"/>
          <w:iCs w:val="0"/>
          <w:sz w:val="22"/>
          <w:szCs w:val="22"/>
        </w:rPr>
      </w:pPr>
    </w:p>
    <w:p w14:paraId="187CEDDA" w14:textId="77777777" w:rsidR="005142DB" w:rsidRDefault="009F315A">
      <w:pPr>
        <w:numPr>
          <w:ilvl w:val="0"/>
          <w:numId w:val="1"/>
        </w:numPr>
        <w:jc w:val="both"/>
        <w:rPr>
          <w:rFonts w:ascii="Verdana" w:eastAsia="Verdana" w:hAnsi="Verdana" w:cs="Verdana"/>
          <w:i w:val="0"/>
          <w:iCs w:val="0"/>
          <w:sz w:val="22"/>
          <w:szCs w:val="22"/>
        </w:rPr>
      </w:pPr>
      <w:r>
        <w:rPr>
          <w:rFonts w:ascii="Verdana" w:eastAsia="Verdana" w:hAnsi="Verdana" w:cs="Verdana"/>
          <w:i w:val="0"/>
          <w:iCs w:val="0"/>
          <w:sz w:val="22"/>
          <w:szCs w:val="22"/>
        </w:rPr>
        <w:t>Para entidades de primer nivel de supervisión: la información correspondiente al corte de los meses de julio y agosto de 2026, deberá ser reportada a esta Superintendencia a través del sistema misional ADA, a más tardar dentro de los primeros 20 días calendario de octubre de 2026.</w:t>
      </w:r>
    </w:p>
    <w:p w14:paraId="0BBD8037" w14:textId="77777777" w:rsidR="005142DB" w:rsidRDefault="005142DB">
      <w:pPr>
        <w:jc w:val="both"/>
        <w:rPr>
          <w:rFonts w:ascii="Verdana" w:eastAsia="Verdana" w:hAnsi="Verdana" w:cs="Verdana"/>
          <w:i w:val="0"/>
          <w:iCs w:val="0"/>
          <w:sz w:val="22"/>
          <w:szCs w:val="22"/>
        </w:rPr>
      </w:pPr>
    </w:p>
    <w:p w14:paraId="7FEC8469" w14:textId="0CDB7C0C" w:rsidR="005142DB" w:rsidRDefault="009F315A">
      <w:pPr>
        <w:ind w:left="720"/>
        <w:jc w:val="both"/>
        <w:rPr>
          <w:rFonts w:ascii="Verdana" w:eastAsia="Verdana" w:hAnsi="Verdana" w:cs="Verdana"/>
          <w:i w:val="0"/>
          <w:iCs w:val="0"/>
          <w:sz w:val="22"/>
          <w:szCs w:val="22"/>
        </w:rPr>
      </w:pPr>
      <w:r>
        <w:rPr>
          <w:rFonts w:ascii="Verdana" w:eastAsia="Verdana" w:hAnsi="Verdana" w:cs="Verdana"/>
          <w:i w:val="0"/>
          <w:iCs w:val="0"/>
          <w:sz w:val="22"/>
          <w:szCs w:val="22"/>
        </w:rPr>
        <w:t xml:space="preserve">No obstante, para las cooperativas de ahorro y crédito y las cooperativas multiactivas e integrales con sección de ahorro y crédito clasificadas en categoría intermedia y plena, la información correspondiente a los formatos 3, 169, 9013, 9026, 9027 y 9067 con corte a los meses de julio y agosto de 2026, deberá ser enviada el último día hábil de agosto y septiembre de 2026, respectivamente, al correo electrónico </w:t>
      </w:r>
      <w:hyperlink r:id="rId8" w:history="1">
        <w:r w:rsidR="003E4D4D" w:rsidRPr="003262C8">
          <w:rPr>
            <w:rStyle w:val="Hipervnculo"/>
            <w:rFonts w:ascii="Verdana" w:eastAsia="Verdana" w:hAnsi="Verdana" w:cs="Verdana"/>
            <w:i w:val="0"/>
            <w:iCs w:val="0"/>
            <w:sz w:val="22"/>
            <w:szCs w:val="22"/>
          </w:rPr>
          <w:t>ada@supersolidaria.gov.co</w:t>
        </w:r>
      </w:hyperlink>
      <w:r w:rsidR="003E4D4D">
        <w:rPr>
          <w:rFonts w:ascii="Verdana" w:eastAsia="Verdana" w:hAnsi="Verdana" w:cs="Verdana"/>
          <w:i w:val="0"/>
          <w:iCs w:val="0"/>
          <w:sz w:val="22"/>
          <w:szCs w:val="22"/>
        </w:rPr>
        <w:t xml:space="preserve"> </w:t>
      </w:r>
      <w:r>
        <w:rPr>
          <w:rFonts w:ascii="Verdana" w:eastAsia="Verdana" w:hAnsi="Verdana" w:cs="Verdana"/>
          <w:i w:val="0"/>
          <w:iCs w:val="0"/>
          <w:sz w:val="22"/>
          <w:szCs w:val="22"/>
        </w:rPr>
        <w:t xml:space="preserve">en archivo </w:t>
      </w:r>
      <w:proofErr w:type="spellStart"/>
      <w:r>
        <w:rPr>
          <w:rFonts w:ascii="Verdana" w:eastAsia="Verdana" w:hAnsi="Verdana" w:cs="Verdana"/>
          <w:i w:val="0"/>
          <w:iCs w:val="0"/>
          <w:sz w:val="22"/>
          <w:szCs w:val="22"/>
        </w:rPr>
        <w:t>excel</w:t>
      </w:r>
      <w:proofErr w:type="spellEnd"/>
      <w:r>
        <w:rPr>
          <w:rFonts w:ascii="Verdana" w:eastAsia="Verdana" w:hAnsi="Verdana" w:cs="Verdana"/>
          <w:i w:val="0"/>
          <w:iCs w:val="0"/>
          <w:sz w:val="22"/>
          <w:szCs w:val="22"/>
        </w:rPr>
        <w:t xml:space="preserve"> denominado: “</w:t>
      </w:r>
      <w:proofErr w:type="spellStart"/>
      <w:r>
        <w:rPr>
          <w:rFonts w:ascii="Verdana" w:eastAsia="Verdana" w:hAnsi="Verdana" w:cs="Verdana"/>
          <w:i w:val="0"/>
          <w:iCs w:val="0"/>
          <w:sz w:val="22"/>
          <w:szCs w:val="22"/>
        </w:rPr>
        <w:t>Nit_Sigla_formatoXX_Mes</w:t>
      </w:r>
      <w:proofErr w:type="spellEnd"/>
      <w:r>
        <w:rPr>
          <w:rFonts w:ascii="Verdana" w:eastAsia="Verdana" w:hAnsi="Verdana" w:cs="Verdana"/>
          <w:i w:val="0"/>
          <w:iCs w:val="0"/>
          <w:sz w:val="22"/>
          <w:szCs w:val="22"/>
        </w:rPr>
        <w:t>”.</w:t>
      </w:r>
    </w:p>
    <w:p w14:paraId="2FA0A675" w14:textId="77777777" w:rsidR="005142DB" w:rsidRDefault="005142DB">
      <w:pPr>
        <w:ind w:left="720"/>
        <w:jc w:val="both"/>
        <w:rPr>
          <w:rFonts w:ascii="Verdana" w:eastAsia="Verdana" w:hAnsi="Verdana" w:cs="Verdana"/>
          <w:i w:val="0"/>
          <w:iCs w:val="0"/>
          <w:sz w:val="22"/>
          <w:szCs w:val="22"/>
        </w:rPr>
      </w:pPr>
    </w:p>
    <w:p w14:paraId="411EA926" w14:textId="77777777" w:rsidR="005142DB" w:rsidRDefault="009F315A">
      <w:pPr>
        <w:numPr>
          <w:ilvl w:val="0"/>
          <w:numId w:val="1"/>
        </w:numPr>
        <w:jc w:val="both"/>
        <w:rPr>
          <w:rFonts w:ascii="Verdana" w:eastAsia="Verdana" w:hAnsi="Verdana" w:cs="Verdana"/>
          <w:i w:val="0"/>
          <w:iCs w:val="0"/>
          <w:sz w:val="22"/>
          <w:szCs w:val="22"/>
        </w:rPr>
      </w:pPr>
      <w:r>
        <w:rPr>
          <w:rFonts w:ascii="Verdana" w:eastAsia="Verdana" w:hAnsi="Verdana" w:cs="Verdana"/>
          <w:i w:val="0"/>
          <w:iCs w:val="0"/>
          <w:sz w:val="22"/>
          <w:szCs w:val="22"/>
        </w:rPr>
        <w:t>Para entidades de segundo y tercer nivel de supervisión y cooperativas de ahorro y crédito y las cooperativas multiactivas e integrales con sección de ahorro y crédito clasificadas en categoría básica: la información correspondiente al corte de los meses de julio, agosto y septiembre de 2026, deberá ser reportada a esta Superintendencia a través del sistema misional ADA, a más tardar dentro de los primeros 20 días calendario de noviembre de 2026.</w:t>
      </w:r>
    </w:p>
    <w:p w14:paraId="504BFE0E" w14:textId="77777777" w:rsidR="005142DB" w:rsidRDefault="005142DB">
      <w:pPr>
        <w:jc w:val="both"/>
        <w:rPr>
          <w:rFonts w:ascii="Verdana" w:eastAsia="Verdana" w:hAnsi="Verdana" w:cs="Verdana"/>
          <w:i w:val="0"/>
          <w:iCs w:val="0"/>
          <w:sz w:val="22"/>
          <w:szCs w:val="22"/>
        </w:rPr>
      </w:pPr>
    </w:p>
    <w:p w14:paraId="0E5E4478"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Para efectos de la aplicación de esta medida, la ampliación del plazo comprenderá los siguientes formatos:</w:t>
      </w:r>
    </w:p>
    <w:p w14:paraId="517559DA" w14:textId="77777777" w:rsidR="005142DB" w:rsidRDefault="005142DB">
      <w:pPr>
        <w:jc w:val="both"/>
        <w:rPr>
          <w:rFonts w:ascii="Verdana" w:eastAsia="Verdana" w:hAnsi="Verdana" w:cs="Verdana"/>
          <w:i w:val="0"/>
          <w:iCs w:val="0"/>
          <w:sz w:val="22"/>
          <w:szCs w:val="22"/>
        </w:rPr>
      </w:pPr>
    </w:p>
    <w:tbl>
      <w:tblPr>
        <w:tblStyle w:val="a0"/>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3780"/>
        <w:gridCol w:w="1245"/>
        <w:gridCol w:w="1245"/>
        <w:gridCol w:w="1605"/>
      </w:tblGrid>
      <w:tr w:rsidR="005142DB" w14:paraId="2E2A0202" w14:textId="77777777">
        <w:trPr>
          <w:cantSplit/>
          <w:trHeight w:val="930"/>
          <w:tblHeader/>
        </w:trPr>
        <w:tc>
          <w:tcPr>
            <w:tcW w:w="960" w:type="dxa"/>
            <w:tcBorders>
              <w:top w:val="single" w:sz="5" w:space="0" w:color="000000"/>
              <w:left w:val="single" w:sz="5" w:space="0" w:color="000000"/>
              <w:bottom w:val="single" w:sz="5" w:space="0" w:color="000000"/>
              <w:right w:val="single" w:sz="5" w:space="0" w:color="000000"/>
            </w:tcBorders>
            <w:shd w:val="clear" w:color="auto" w:fill="B7B7B7"/>
            <w:tcMar>
              <w:top w:w="56" w:type="dxa"/>
              <w:left w:w="56" w:type="dxa"/>
              <w:bottom w:w="56" w:type="dxa"/>
              <w:right w:w="56" w:type="dxa"/>
            </w:tcMar>
            <w:vAlign w:val="center"/>
          </w:tcPr>
          <w:p w14:paraId="1E04EB1F" w14:textId="77777777" w:rsidR="005142DB" w:rsidRDefault="009F315A">
            <w:pPr>
              <w:jc w:val="center"/>
              <w:rPr>
                <w:rFonts w:ascii="Verdana" w:eastAsia="Verdana" w:hAnsi="Verdana" w:cs="Verdana"/>
                <w:b/>
                <w:bCs/>
                <w:i w:val="0"/>
                <w:iCs w:val="0"/>
                <w:sz w:val="14"/>
                <w:szCs w:val="14"/>
              </w:rPr>
            </w:pPr>
            <w:r>
              <w:rPr>
                <w:rFonts w:ascii="Verdana" w:eastAsia="Verdana" w:hAnsi="Verdana" w:cs="Verdana"/>
                <w:b/>
                <w:bCs/>
                <w:i w:val="0"/>
                <w:iCs w:val="0"/>
                <w:sz w:val="14"/>
                <w:szCs w:val="14"/>
              </w:rPr>
              <w:t>CÓDIGO FORMATO</w:t>
            </w:r>
          </w:p>
        </w:tc>
        <w:tc>
          <w:tcPr>
            <w:tcW w:w="3780" w:type="dxa"/>
            <w:tcBorders>
              <w:top w:val="single" w:sz="5" w:space="0" w:color="000000"/>
              <w:left w:val="nil"/>
              <w:bottom w:val="single" w:sz="5" w:space="0" w:color="000000"/>
              <w:right w:val="single" w:sz="5" w:space="0" w:color="000000"/>
            </w:tcBorders>
            <w:shd w:val="clear" w:color="auto" w:fill="B7B7B7"/>
            <w:tcMar>
              <w:top w:w="56" w:type="dxa"/>
              <w:left w:w="56" w:type="dxa"/>
              <w:bottom w:w="56" w:type="dxa"/>
              <w:right w:w="56" w:type="dxa"/>
            </w:tcMar>
            <w:vAlign w:val="center"/>
          </w:tcPr>
          <w:p w14:paraId="3DBCBF75" w14:textId="77777777" w:rsidR="005142DB" w:rsidRDefault="009F315A">
            <w:pPr>
              <w:jc w:val="center"/>
              <w:rPr>
                <w:rFonts w:ascii="Verdana" w:eastAsia="Verdana" w:hAnsi="Verdana" w:cs="Verdana"/>
                <w:b/>
                <w:bCs/>
                <w:i w:val="0"/>
                <w:iCs w:val="0"/>
                <w:sz w:val="14"/>
                <w:szCs w:val="14"/>
              </w:rPr>
            </w:pPr>
            <w:r>
              <w:rPr>
                <w:rFonts w:ascii="Verdana" w:eastAsia="Verdana" w:hAnsi="Verdana" w:cs="Verdana"/>
                <w:b/>
                <w:bCs/>
                <w:i w:val="0"/>
                <w:iCs w:val="0"/>
                <w:sz w:val="14"/>
                <w:szCs w:val="14"/>
              </w:rPr>
              <w:t>NOMBRE FORMATO</w:t>
            </w:r>
          </w:p>
        </w:tc>
        <w:tc>
          <w:tcPr>
            <w:tcW w:w="1245" w:type="dxa"/>
            <w:tcBorders>
              <w:top w:val="single" w:sz="5" w:space="0" w:color="000000"/>
              <w:left w:val="nil"/>
              <w:bottom w:val="single" w:sz="5" w:space="0" w:color="000000"/>
              <w:right w:val="single" w:sz="5" w:space="0" w:color="000000"/>
            </w:tcBorders>
            <w:shd w:val="clear" w:color="auto" w:fill="B7B7B7"/>
            <w:tcMar>
              <w:top w:w="56" w:type="dxa"/>
              <w:left w:w="56" w:type="dxa"/>
              <w:bottom w:w="56" w:type="dxa"/>
              <w:right w:w="56" w:type="dxa"/>
            </w:tcMar>
            <w:vAlign w:val="center"/>
          </w:tcPr>
          <w:p w14:paraId="0D09B204" w14:textId="77777777" w:rsidR="005142DB" w:rsidRDefault="009F315A">
            <w:pPr>
              <w:jc w:val="center"/>
              <w:rPr>
                <w:rFonts w:ascii="Verdana" w:eastAsia="Verdana" w:hAnsi="Verdana" w:cs="Verdana"/>
                <w:b/>
                <w:bCs/>
                <w:i w:val="0"/>
                <w:iCs w:val="0"/>
                <w:sz w:val="14"/>
                <w:szCs w:val="14"/>
              </w:rPr>
            </w:pPr>
            <w:r>
              <w:rPr>
                <w:rFonts w:ascii="Verdana" w:eastAsia="Verdana" w:hAnsi="Verdana" w:cs="Verdana"/>
                <w:b/>
                <w:bCs/>
                <w:i w:val="0"/>
                <w:iCs w:val="0"/>
                <w:sz w:val="14"/>
                <w:szCs w:val="14"/>
              </w:rPr>
              <w:t>PRIMER NIVEL SUPERVISIÓN</w:t>
            </w:r>
          </w:p>
        </w:tc>
        <w:tc>
          <w:tcPr>
            <w:tcW w:w="1245" w:type="dxa"/>
            <w:tcBorders>
              <w:top w:val="single" w:sz="5" w:space="0" w:color="000000"/>
              <w:left w:val="nil"/>
              <w:bottom w:val="single" w:sz="5" w:space="0" w:color="000000"/>
              <w:right w:val="single" w:sz="5" w:space="0" w:color="000000"/>
            </w:tcBorders>
            <w:shd w:val="clear" w:color="auto" w:fill="B7B7B7"/>
            <w:tcMar>
              <w:top w:w="56" w:type="dxa"/>
              <w:left w:w="56" w:type="dxa"/>
              <w:bottom w:w="56" w:type="dxa"/>
              <w:right w:w="56" w:type="dxa"/>
            </w:tcMar>
            <w:vAlign w:val="center"/>
          </w:tcPr>
          <w:p w14:paraId="47FEF402" w14:textId="77777777" w:rsidR="005142DB" w:rsidRDefault="009F315A">
            <w:pPr>
              <w:jc w:val="center"/>
              <w:rPr>
                <w:rFonts w:ascii="Verdana" w:eastAsia="Verdana" w:hAnsi="Verdana" w:cs="Verdana"/>
                <w:b/>
                <w:bCs/>
                <w:i w:val="0"/>
                <w:iCs w:val="0"/>
                <w:sz w:val="14"/>
                <w:szCs w:val="14"/>
              </w:rPr>
            </w:pPr>
            <w:r>
              <w:rPr>
                <w:rFonts w:ascii="Verdana" w:eastAsia="Verdana" w:hAnsi="Verdana" w:cs="Verdana"/>
                <w:b/>
                <w:bCs/>
                <w:i w:val="0"/>
                <w:iCs w:val="0"/>
                <w:sz w:val="14"/>
                <w:szCs w:val="14"/>
              </w:rPr>
              <w:t>SEGUNDO NIVEL SUPERVISIÓN</w:t>
            </w:r>
          </w:p>
        </w:tc>
        <w:tc>
          <w:tcPr>
            <w:tcW w:w="1605" w:type="dxa"/>
            <w:tcBorders>
              <w:top w:val="single" w:sz="5" w:space="0" w:color="000000"/>
              <w:left w:val="nil"/>
              <w:bottom w:val="single" w:sz="5" w:space="0" w:color="000000"/>
              <w:right w:val="single" w:sz="5" w:space="0" w:color="000000"/>
            </w:tcBorders>
            <w:shd w:val="clear" w:color="auto" w:fill="B7B7B7"/>
            <w:tcMar>
              <w:top w:w="56" w:type="dxa"/>
              <w:left w:w="56" w:type="dxa"/>
              <w:bottom w:w="56" w:type="dxa"/>
              <w:right w:w="56" w:type="dxa"/>
            </w:tcMar>
            <w:vAlign w:val="center"/>
          </w:tcPr>
          <w:p w14:paraId="1AE3BF2E" w14:textId="77777777" w:rsidR="005142DB" w:rsidRDefault="009F315A">
            <w:pPr>
              <w:jc w:val="center"/>
              <w:rPr>
                <w:rFonts w:ascii="Verdana" w:eastAsia="Verdana" w:hAnsi="Verdana" w:cs="Verdana"/>
                <w:b/>
                <w:bCs/>
                <w:i w:val="0"/>
                <w:iCs w:val="0"/>
                <w:sz w:val="14"/>
                <w:szCs w:val="14"/>
              </w:rPr>
            </w:pPr>
            <w:r>
              <w:rPr>
                <w:rFonts w:ascii="Verdana" w:eastAsia="Verdana" w:hAnsi="Verdana" w:cs="Verdana"/>
                <w:b/>
                <w:bCs/>
                <w:i w:val="0"/>
                <w:iCs w:val="0"/>
                <w:sz w:val="14"/>
                <w:szCs w:val="14"/>
              </w:rPr>
              <w:t>TERCER NIVEL SUPERVISIÓN ASOCIACIONES MUTUALES Y FONDOS DE EMPLEADOS</w:t>
            </w:r>
          </w:p>
        </w:tc>
      </w:tr>
      <w:tr w:rsidR="005142DB" w14:paraId="4A599DBB"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1C9BC658"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3</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F14D99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CATÁLOGO ÚNICO DE INFORMACIÓN FINANCIERA CON FINES DE SUPERVISIÓN</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DED25F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DD73F7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15AA891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7FA8A81B"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6B04E420"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130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5B08D9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INFORMACIÓN ESTADÍSTICA</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135D91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19D70AE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69C9D97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4C8E6FAA"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4461A02"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lastRenderedPageBreak/>
              <w:t>158</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0607E7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CONCEPTOS FINANCIEROS PARA EL CÁLCULO DE LA RELACIÓN DE SOLVENCIA</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0E1715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3C671C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F0777D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861630B"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F5EBBCE"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159</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05788A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EVALUACIÓN DEL RIESGO DE LIQUIDEZ</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9225F0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6A5ADF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0D0FF61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r>
      <w:tr w:rsidR="005142DB" w14:paraId="147E0440"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B2172CB"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169</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D3D886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SALDOS DIARIOS DE AHORRO</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CA682C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AF4D2D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1D48FF7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48D99B4D" w14:textId="77777777">
        <w:trPr>
          <w:cantSplit/>
          <w:trHeight w:val="175"/>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4175DAAD"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170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6152E700"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FORMATO SALDOS DE CUENTAS DE BALANCE SEMANAL</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474E82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SEMANAL</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3FA20D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3DCBA72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5EE44DB9"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5F27C205"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171</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34B2CF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FORMATO SALDOS DE DEPÓSITOS SEMANAL</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60979F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SEMANAL</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499D2D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C39C26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0C8D7F80"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77869DA7"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172</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025AFBA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FORMATO FLUJO DE CAJA SEMANAL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77492A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SEMANAL</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E2BD75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02F1AD2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4DA05DC4"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B611769"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173</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6CBF3A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INDICADOR RIESGO DE LIQUIDEZ (IRL) FONDOS DE EMPLEADOS Y MUTUALES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194FE49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901419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303DCAF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02EDA584"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1C3A0198"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8888</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785BF27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INFORME ÓRGANOS DE DIRECCIÓN Y CONTROL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A70CB2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42EFCA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9A03A6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D94E936"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71F3647C"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9013</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2162D75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INDIVIDUAL DE APORTES O CONTRIBUCIONES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7EC23E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92A6C6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1B8E4FB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B1EA00C"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14C38C45"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9015</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2CE8E9C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RED DE OFICINAS Y CORRESPONSALES NO BANCARIOS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E5CCE9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96EF84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138CD0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1E0FA4D"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0EEB4AB"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9016</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0095C27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INDIVIDUAL DE PARENTESCOS Y OTROS VÍNCULOS (PARTE A - PARENTESCOS)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C52078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1F6A32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DDDD27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4CAFCD41"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1EEF1D3D"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9021</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564168A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RELACIÓN DE BIENES RECIBIDOS EN PAGO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658B10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38D062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431FC7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146CDA5A"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F6216E6"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9022</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11538B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RELACIÓN DE PROPIEDADES Y EQUIPOS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62CAE8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B311F4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068AC32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9EF6167"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F0170DC"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9026</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65536A4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INDIVIDUAL DE LAS CAPTACIONES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C222FF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697EE3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1D9A0CF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30FC9E5"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F787CD1"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9027</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C5933F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INDIVIDUAL DE CARTERA DE CRÉDITO</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52A927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D41F15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35D4781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CE81B65"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7FC1313A"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9030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18A728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RELACIÓN DE DEUDORES POR VENTA DE BIENES Y SERVICIOS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757C98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DDC2EB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32FA06E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CBBFE6A"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F6FCA1C"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9036</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6EA9548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RELACIÓN DE INVERSIONES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11CE6B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CCC818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C92F48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710245A7"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131C0FC3"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9038</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6956AD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OPERACIONES DE CORRESPONSALES NO BANCARIOS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1D31242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145E3A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713A9F6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6B7DC4D6"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7F36FA32"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9039</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7B294AF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PAGOS REALIZADOS POR ANTICIPADO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A2E013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1F1247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B11F8AD"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0926A985"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52F5243A"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9040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217BA0D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BAJA EN CUENTA DE ACTIVOS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1ED6DEF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43417F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D88836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54BDAD90"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B41FA48"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9042</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D2B610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INFORMACIÓN DE OPERACIONES POR PRODUCTO</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435AD8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A4EA3B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75EB08C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551CA69D"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BB8485B"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9050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7BC72C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DEUDORES PATRONALES Y EMPRESAS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38BD3B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6471A9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60D48C7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2AE9A611"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4730AD86"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9051</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17DDB60"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COMPRA Y VENTA DE CARTERA DE CRÉDITOS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455C8B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A02025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A200EE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2BBC8204"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60949957"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9052</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FCB7D2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CRÉDITOS DE BANCOS Y OTRAS OBLIGACIONES FINANCIERAS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C8D96E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EE4577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78FD629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576A5F3D"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79D4A5CC"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9053</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6DE974D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INFORME CUENTAS POR PAGAR - OTRAS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0349ED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DBEA19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54A88A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0916FB86"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6D493CF"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9055</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4372E3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INGRESOS RECIBIDOS PARA TERCEROS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13F4A86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BEE637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736BC950"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215835E5"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51BC0817"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lastRenderedPageBreak/>
              <w:t>9060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358F2DF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RETIRO E INGRESO DE ASOCIADOS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0E39E9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7471D3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0E384FC0"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r>
      <w:tr w:rsidR="005142DB" w14:paraId="48F54DD6"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50184E0F"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9062</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F77744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CORRESPONSALES NO BANCARIOS PARA BANCA DE LAS OPORTUNIDADES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4B5D2E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E6846A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416B35A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7DE9E37D"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5B7D73F"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9063</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78C950D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CONVENIOS DE RECAUDO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E2E665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518567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01BAFF8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482794DC"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10C91F83"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9066</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0ECA9AC4"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INDIVIDUAL DE PARENTESCOS Y OTROS VÍNCULOS (PARTE B - VINCULADAS)</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DA0113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0C0634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7FADC33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78CA93EF"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3186A173"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9067</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4EC975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FONDO DE LIQUIDEZ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5376A0E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908600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159457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r>
      <w:tr w:rsidR="005142DB" w14:paraId="2CEB2666"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E9A3063"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9068</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C3F037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COTITULARES DEPÓSITOS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8756465"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3A9940F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245D5DF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50367402"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542CE414"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9080</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5936C8F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SISTEMAS DE PAGO</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5C90660"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2C064567"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07A1408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66092210"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540D4432"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9081</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BFE1958"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ANEXO CARTERA CE 1720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E1EFD0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05DD573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176703C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4FE00406"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076CBD2C"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9083</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71A1F009"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INFORME INDIVIDUAL DEL CÁLCULO DEL DETERIORO DE LA CARTERA DE CRÉDITO</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C828C2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6748340C"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580195E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0DC3A0AC"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60073CDC"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9998</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10B6A63B"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IDENTIFICACIÓN</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A13E4E6"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78411F9F"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75670F52"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r w:rsidR="005142DB" w14:paraId="31376593" w14:textId="77777777">
        <w:trPr>
          <w:cantSplit/>
          <w:trHeight w:val="283"/>
        </w:trPr>
        <w:tc>
          <w:tcPr>
            <w:tcW w:w="960" w:type="dxa"/>
            <w:tcBorders>
              <w:top w:val="nil"/>
              <w:left w:val="single" w:sz="5" w:space="0" w:color="000000"/>
              <w:bottom w:val="single" w:sz="5" w:space="0" w:color="000000"/>
              <w:right w:val="single" w:sz="5" w:space="0" w:color="000000"/>
            </w:tcBorders>
            <w:tcMar>
              <w:top w:w="56" w:type="dxa"/>
              <w:left w:w="56" w:type="dxa"/>
              <w:bottom w:w="56" w:type="dxa"/>
              <w:right w:w="56" w:type="dxa"/>
            </w:tcMar>
          </w:tcPr>
          <w:p w14:paraId="24F79EE8" w14:textId="77777777" w:rsidR="005142DB" w:rsidRDefault="009F315A">
            <w:pPr>
              <w:jc w:val="center"/>
              <w:rPr>
                <w:rFonts w:ascii="Verdana" w:eastAsia="Verdana" w:hAnsi="Verdana" w:cs="Verdana"/>
                <w:i w:val="0"/>
                <w:iCs w:val="0"/>
                <w:sz w:val="14"/>
                <w:szCs w:val="14"/>
              </w:rPr>
            </w:pPr>
            <w:r>
              <w:rPr>
                <w:rFonts w:ascii="Verdana" w:eastAsia="Verdana" w:hAnsi="Verdana" w:cs="Verdana"/>
                <w:i w:val="0"/>
                <w:iCs w:val="0"/>
                <w:sz w:val="14"/>
                <w:szCs w:val="14"/>
              </w:rPr>
              <w:t>9999</w:t>
            </w:r>
          </w:p>
        </w:tc>
        <w:tc>
          <w:tcPr>
            <w:tcW w:w="3780" w:type="dxa"/>
            <w:tcBorders>
              <w:top w:val="nil"/>
              <w:left w:val="nil"/>
              <w:bottom w:val="single" w:sz="5" w:space="0" w:color="000000"/>
              <w:right w:val="single" w:sz="5" w:space="0" w:color="000000"/>
            </w:tcBorders>
            <w:tcMar>
              <w:top w:w="56" w:type="dxa"/>
              <w:left w:w="56" w:type="dxa"/>
              <w:bottom w:w="56" w:type="dxa"/>
              <w:right w:w="56" w:type="dxa"/>
            </w:tcMar>
          </w:tcPr>
          <w:p w14:paraId="4A97FB81"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ASOCIADOS, EMPLEADOS Y TERCEROS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39859CE"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 xml:space="preserve">MENSUAL </w:t>
            </w:r>
          </w:p>
        </w:tc>
        <w:tc>
          <w:tcPr>
            <w:tcW w:w="1245" w:type="dxa"/>
            <w:tcBorders>
              <w:top w:val="nil"/>
              <w:left w:val="nil"/>
              <w:bottom w:val="single" w:sz="5" w:space="0" w:color="000000"/>
              <w:right w:val="single" w:sz="5" w:space="0" w:color="000000"/>
            </w:tcBorders>
            <w:tcMar>
              <w:top w:w="56" w:type="dxa"/>
              <w:left w:w="56" w:type="dxa"/>
              <w:bottom w:w="56" w:type="dxa"/>
              <w:right w:w="56" w:type="dxa"/>
            </w:tcMar>
          </w:tcPr>
          <w:p w14:paraId="46BA1ACA"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TRIMESTRAL</w:t>
            </w:r>
          </w:p>
        </w:tc>
        <w:tc>
          <w:tcPr>
            <w:tcW w:w="1605" w:type="dxa"/>
            <w:tcBorders>
              <w:top w:val="nil"/>
              <w:left w:val="nil"/>
              <w:bottom w:val="single" w:sz="5" w:space="0" w:color="000000"/>
              <w:right w:val="single" w:sz="5" w:space="0" w:color="000000"/>
            </w:tcBorders>
            <w:tcMar>
              <w:top w:w="56" w:type="dxa"/>
              <w:left w:w="56" w:type="dxa"/>
              <w:bottom w:w="56" w:type="dxa"/>
              <w:right w:w="56" w:type="dxa"/>
            </w:tcMar>
          </w:tcPr>
          <w:p w14:paraId="6CA280E3" w14:textId="77777777" w:rsidR="005142DB" w:rsidRDefault="009F315A">
            <w:pPr>
              <w:jc w:val="both"/>
              <w:rPr>
                <w:rFonts w:ascii="Verdana" w:eastAsia="Verdana" w:hAnsi="Verdana" w:cs="Verdana"/>
                <w:i w:val="0"/>
                <w:iCs w:val="0"/>
                <w:sz w:val="14"/>
                <w:szCs w:val="14"/>
              </w:rPr>
            </w:pPr>
            <w:r>
              <w:rPr>
                <w:rFonts w:ascii="Verdana" w:eastAsia="Verdana" w:hAnsi="Verdana" w:cs="Verdana"/>
                <w:i w:val="0"/>
                <w:iCs w:val="0"/>
                <w:sz w:val="14"/>
                <w:szCs w:val="14"/>
              </w:rPr>
              <w:t>N/A</w:t>
            </w:r>
          </w:p>
        </w:tc>
      </w:tr>
    </w:tbl>
    <w:p w14:paraId="35407B77" w14:textId="77777777" w:rsidR="005142DB" w:rsidRDefault="005142DB">
      <w:pPr>
        <w:jc w:val="both"/>
        <w:rPr>
          <w:rFonts w:ascii="Verdana" w:eastAsia="Verdana" w:hAnsi="Verdana" w:cs="Verdana"/>
          <w:i w:val="0"/>
          <w:iCs w:val="0"/>
          <w:color w:val="0000FF"/>
          <w:sz w:val="22"/>
          <w:szCs w:val="22"/>
        </w:rPr>
      </w:pPr>
    </w:p>
    <w:p w14:paraId="05CD4D84"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Segunda: Manejo sobre los créditos afectados</w:t>
      </w:r>
    </w:p>
    <w:p w14:paraId="302366CB" w14:textId="77777777" w:rsidR="005142DB" w:rsidRDefault="005142DB">
      <w:pPr>
        <w:jc w:val="both"/>
        <w:rPr>
          <w:rFonts w:ascii="Verdana" w:eastAsia="Verdana" w:hAnsi="Verdana" w:cs="Verdana"/>
          <w:b/>
          <w:bCs/>
          <w:i w:val="0"/>
          <w:iCs w:val="0"/>
          <w:color w:val="0000FF"/>
          <w:sz w:val="22"/>
          <w:szCs w:val="22"/>
        </w:rPr>
      </w:pPr>
    </w:p>
    <w:p w14:paraId="592B492B"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De conformidad con lo señalado en el artículo 2 del Decreto 1171 del 11 de agosto de 2026, las empresas solidarias deben dar aplicación a las medidas contempladas en los </w:t>
      </w:r>
      <w:proofErr w:type="gramStart"/>
      <w:r>
        <w:rPr>
          <w:rFonts w:ascii="Verdana" w:eastAsia="Verdana" w:hAnsi="Verdana" w:cs="Verdana"/>
          <w:i w:val="0"/>
          <w:iCs w:val="0"/>
          <w:sz w:val="22"/>
          <w:szCs w:val="22"/>
        </w:rPr>
        <w:t>artículos  86</w:t>
      </w:r>
      <w:proofErr w:type="gramEnd"/>
      <w:r>
        <w:rPr>
          <w:rFonts w:ascii="Verdana" w:eastAsia="Verdana" w:hAnsi="Verdana" w:cs="Verdana"/>
          <w:i w:val="0"/>
          <w:iCs w:val="0"/>
          <w:sz w:val="22"/>
          <w:szCs w:val="22"/>
        </w:rPr>
        <w:t>, 87 y 88 de la Ley 1523 de 2012, en concordancia con el numeral 5.2.3.3., del capítulo II, del Título IV de la Circular Básica Contable y Financiera, las organizaciones solidarias deberán:</w:t>
      </w:r>
    </w:p>
    <w:p w14:paraId="6CA2E523" w14:textId="77777777" w:rsidR="005142DB" w:rsidRDefault="005142DB">
      <w:pPr>
        <w:jc w:val="both"/>
        <w:rPr>
          <w:rFonts w:ascii="Verdana" w:eastAsia="Verdana" w:hAnsi="Verdana" w:cs="Verdana"/>
          <w:i w:val="0"/>
          <w:iCs w:val="0"/>
          <w:sz w:val="22"/>
          <w:szCs w:val="22"/>
        </w:rPr>
      </w:pPr>
    </w:p>
    <w:p w14:paraId="403D6CD8" w14:textId="77777777" w:rsidR="005142DB" w:rsidRDefault="009F315A">
      <w:pPr>
        <w:ind w:left="720"/>
        <w:jc w:val="both"/>
        <w:rPr>
          <w:rFonts w:ascii="Verdana" w:eastAsia="Verdana" w:hAnsi="Verdana" w:cs="Verdana"/>
          <w:i w:val="0"/>
          <w:iCs w:val="0"/>
          <w:sz w:val="22"/>
          <w:szCs w:val="22"/>
        </w:rPr>
      </w:pPr>
      <w:r>
        <w:rPr>
          <w:rFonts w:ascii="Verdana" w:eastAsia="Verdana" w:hAnsi="Verdana" w:cs="Verdana"/>
          <w:i w:val="0"/>
          <w:iCs w:val="0"/>
          <w:sz w:val="22"/>
          <w:szCs w:val="22"/>
        </w:rPr>
        <w:t>2.1. Identificar los afectados: Las empresas solidarias deberán adoptar un reglamento que contemple los mecanismos y procedimientos internos que les permitan identificar a los deudores afectados por la situación de desastre declarada mediante el Decreto 1171 del 11 de agosto de 2026, de conformidad con el artículo 87 de la Ley 1523 de 2012.</w:t>
      </w:r>
    </w:p>
    <w:p w14:paraId="0F858180" w14:textId="77777777" w:rsidR="005142DB" w:rsidRDefault="005142DB">
      <w:pPr>
        <w:jc w:val="both"/>
        <w:rPr>
          <w:rFonts w:ascii="Verdana" w:eastAsia="Verdana" w:hAnsi="Verdana" w:cs="Verdana"/>
          <w:i w:val="0"/>
          <w:iCs w:val="0"/>
          <w:sz w:val="22"/>
          <w:szCs w:val="22"/>
        </w:rPr>
      </w:pPr>
    </w:p>
    <w:p w14:paraId="0FC5B59D" w14:textId="77777777" w:rsidR="005142DB" w:rsidRDefault="009F315A">
      <w:pPr>
        <w:ind w:left="720"/>
        <w:jc w:val="both"/>
        <w:rPr>
          <w:rFonts w:ascii="Verdana" w:eastAsia="Verdana" w:hAnsi="Verdana" w:cs="Verdana"/>
          <w:i w:val="0"/>
          <w:iCs w:val="0"/>
          <w:sz w:val="22"/>
          <w:szCs w:val="22"/>
        </w:rPr>
      </w:pPr>
      <w:r>
        <w:rPr>
          <w:rFonts w:ascii="Verdana" w:eastAsia="Verdana" w:hAnsi="Verdana" w:cs="Verdana"/>
          <w:i w:val="0"/>
          <w:iCs w:val="0"/>
          <w:sz w:val="22"/>
          <w:szCs w:val="22"/>
        </w:rPr>
        <w:t xml:space="preserve">2.2. El órgano de administración permanente de la empresa solidaria deberá establecer las políticas que permitan modificar mediante cualquier negocio jurídico a solicitud del deudor o por iniciativa de la organización solidaria que otorgó el crédito, previo acuerdo con el deudor, las condiciones inicialmente pactadas de los créditos, con el fin de permitirle a los deudores identificados como deudores afectados, la atención adecuada de las obligaciones contraídas antes de la declaratoria de la situación de desastre, sin que estos ajustes sean considerados como una reestructuración, dentro de éstas se deberá tener en cuenta como mínimo </w:t>
      </w:r>
      <w:r>
        <w:rPr>
          <w:rFonts w:ascii="Verdana" w:eastAsia="Verdana" w:hAnsi="Verdana" w:cs="Verdana"/>
          <w:i w:val="0"/>
          <w:iCs w:val="0"/>
          <w:sz w:val="22"/>
          <w:szCs w:val="22"/>
        </w:rPr>
        <w:lastRenderedPageBreak/>
        <w:t xml:space="preserve">lo establecido en el artículo 86 de la Ley 1523 de 2012 en concordancia con el numeral 5.2.3.3., del capítulo II, del Título IV de la Circular Básica Contable y Financiera. </w:t>
      </w:r>
    </w:p>
    <w:p w14:paraId="2ED4FEA9" w14:textId="77777777" w:rsidR="005142DB" w:rsidRDefault="009F315A">
      <w:pPr>
        <w:ind w:left="720"/>
        <w:jc w:val="both"/>
        <w:rPr>
          <w:rFonts w:ascii="Verdana" w:eastAsia="Verdana" w:hAnsi="Verdana" w:cs="Verdana"/>
          <w:i w:val="0"/>
          <w:iCs w:val="0"/>
          <w:sz w:val="22"/>
          <w:szCs w:val="22"/>
        </w:rPr>
      </w:pPr>
      <w:r>
        <w:rPr>
          <w:rFonts w:ascii="Verdana" w:eastAsia="Verdana" w:hAnsi="Verdana" w:cs="Verdana"/>
          <w:i w:val="0"/>
          <w:iCs w:val="0"/>
          <w:sz w:val="22"/>
          <w:szCs w:val="22"/>
        </w:rPr>
        <w:t>2.3. De conformidad con el artículo 88 de la Ley 1523 de 2012, durante los primeros seis (6) meses contados desde el 11 de agosto de 2026, los procesos de ejecución singular, mixtos o con título hipotecario o prendario, entablados por las empresas solidarias contra personas afectadas por el desastre, por obligaciones contraídas antes de la misma fecha, se suspenderán hasta por seis (6) meses si así lo solicita el deudor, desde el momento en que adquiera firmeza el auto que disponga el remate de bienes debidamente embargados y evaluados, o antes de efectuar la nueva subasta, en el evento en que aquella providencia ya se hubiere dictado.</w:t>
      </w:r>
    </w:p>
    <w:p w14:paraId="3C3A5CD5" w14:textId="77777777" w:rsidR="005142DB" w:rsidRDefault="005142DB">
      <w:pPr>
        <w:jc w:val="both"/>
        <w:rPr>
          <w:rFonts w:ascii="Verdana" w:eastAsia="Verdana" w:hAnsi="Verdana" w:cs="Verdana"/>
          <w:b/>
          <w:bCs/>
          <w:i w:val="0"/>
          <w:iCs w:val="0"/>
          <w:sz w:val="22"/>
          <w:szCs w:val="22"/>
        </w:rPr>
      </w:pPr>
    </w:p>
    <w:p w14:paraId="26081D24"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Tercera: Activación de planes de continuidad del negocio y gestión del riesgo operativo.</w:t>
      </w:r>
    </w:p>
    <w:p w14:paraId="2052A5AD"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1DAAAF26"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Las empresas solidarias vigiladas deberán adoptar las medidas necesarias para garantizar la continuidad de sus procesos críticos y servicios esenciales, de conformidad con las políticas, procedimientos y mecanismos internos establecidos para la gestión del riesgo operacional.</w:t>
      </w:r>
    </w:p>
    <w:p w14:paraId="380DFB5A"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0B708E87"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Las cooperativas de ahorro y crédito y las cooperativas multiactivas e integrales con sección de ahorro y crédito, de conformidad con lo dispuesto en el numeral 4.3.3 del capítulo IV del Título IV de la Circular Básica Contable y Financiera, deberán activar el Plan de Continuidad de Negocio, previamente aprobado, y convocar al equipo o comité encargado de administrar e implementar las acciones necesarias para garantizar la continuidad de las operaciones de la Cooperativa. Ante la eventual situación de que la organización no pueda implementar el plan de continuidad deberá informar a esta Superintendencia a través de los canales oficiales, las razones que impiden su activación y la forma como se solucionará en el corto plazo.</w:t>
      </w:r>
    </w:p>
    <w:p w14:paraId="78189AEB" w14:textId="77777777" w:rsidR="005142DB" w:rsidRDefault="005142DB">
      <w:pPr>
        <w:jc w:val="both"/>
        <w:rPr>
          <w:rFonts w:ascii="Verdana" w:eastAsia="Verdana" w:hAnsi="Verdana" w:cs="Verdana"/>
          <w:i w:val="0"/>
          <w:iCs w:val="0"/>
          <w:sz w:val="22"/>
          <w:szCs w:val="22"/>
        </w:rPr>
      </w:pPr>
    </w:p>
    <w:p w14:paraId="62FC2D51"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Por su parte las cooperativas de ahorro y crédito y las cooperativas multiactivas e integrales con sección de ahorro y crédito de categoría básica deberán remitir a esta Superintendencia a través de los canales oficiales, un informe del estado de su infraestructura física y tecnológica, con los consecuentes impactos para la prestación del servicio, así como, deberán señalar los canales vigentes para la atención de los asociados y para la prestación de los servicios de ahorro y crédito. Dicha información deberá ser enviada a más tardar el último día hábil de agosto de 2026.</w:t>
      </w:r>
    </w:p>
    <w:p w14:paraId="7F6377AE" w14:textId="77777777" w:rsidR="005142DB" w:rsidRDefault="005142DB">
      <w:pPr>
        <w:jc w:val="both"/>
        <w:rPr>
          <w:rFonts w:ascii="Verdana" w:eastAsia="Verdana" w:hAnsi="Verdana" w:cs="Verdana"/>
          <w:i w:val="0"/>
          <w:iCs w:val="0"/>
          <w:sz w:val="22"/>
          <w:szCs w:val="22"/>
        </w:rPr>
      </w:pPr>
    </w:p>
    <w:p w14:paraId="25F346B3"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Cuarta: Gestión y monitoreo del riesgo de liquidez.</w:t>
      </w:r>
    </w:p>
    <w:p w14:paraId="00EBF781"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 xml:space="preserve"> </w:t>
      </w:r>
    </w:p>
    <w:p w14:paraId="7782C55C" w14:textId="77777777" w:rsidR="005142DB" w:rsidRDefault="009F315A">
      <w:pPr>
        <w:jc w:val="both"/>
        <w:rPr>
          <w:rFonts w:ascii="Verdana" w:eastAsia="Verdana" w:hAnsi="Verdana" w:cs="Verdana"/>
          <w:i w:val="0"/>
          <w:iCs w:val="0"/>
          <w:sz w:val="16"/>
          <w:szCs w:val="16"/>
        </w:rPr>
      </w:pPr>
      <w:r>
        <w:rPr>
          <w:rFonts w:ascii="Verdana" w:eastAsia="Verdana" w:hAnsi="Verdana" w:cs="Verdana"/>
          <w:i w:val="0"/>
          <w:iCs w:val="0"/>
          <w:sz w:val="22"/>
          <w:szCs w:val="22"/>
        </w:rPr>
        <w:lastRenderedPageBreak/>
        <w:t xml:space="preserve">Las cooperativas especializadas de ahorro y crédito, las cooperativas multiactivas e integrales con sección de ahorro y crédito, los fondos de empleados y las asociaciones mutuales que capten depósitos, con sujeción a lo establecido en el numeral 5.1.6. del Capítulo III del Título IV de la Circular Básica Contable y </w:t>
      </w:r>
      <w:proofErr w:type="gramStart"/>
      <w:r>
        <w:rPr>
          <w:rFonts w:ascii="Verdana" w:eastAsia="Verdana" w:hAnsi="Verdana" w:cs="Verdana"/>
          <w:i w:val="0"/>
          <w:iCs w:val="0"/>
          <w:sz w:val="22"/>
          <w:szCs w:val="22"/>
        </w:rPr>
        <w:t>Financiera  deberán</w:t>
      </w:r>
      <w:proofErr w:type="gramEnd"/>
      <w:r>
        <w:rPr>
          <w:rFonts w:ascii="Verdana" w:eastAsia="Verdana" w:hAnsi="Verdana" w:cs="Verdana"/>
          <w:i w:val="0"/>
          <w:iCs w:val="0"/>
          <w:sz w:val="22"/>
          <w:szCs w:val="22"/>
        </w:rPr>
        <w:t xml:space="preserve"> mantener un monitoreo permanente de su situación de liquidez y, cuando las condiciones lo requieran, activar su Plan de Contingencia de Liquidez, de conformidad con las políticas y procedimientos internos establecidos para la gestión de este riesgo.</w:t>
      </w:r>
    </w:p>
    <w:p w14:paraId="6EDA4EC9"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480D5DD8" w14:textId="77777777" w:rsidR="005142DB" w:rsidRDefault="009F315A">
      <w:pPr>
        <w:jc w:val="both"/>
        <w:rPr>
          <w:rFonts w:ascii="Verdana" w:eastAsia="Verdana" w:hAnsi="Verdana" w:cs="Verdana"/>
          <w:b/>
          <w:bCs/>
          <w:i w:val="0"/>
          <w:iCs w:val="0"/>
          <w:sz w:val="22"/>
          <w:szCs w:val="22"/>
        </w:rPr>
      </w:pPr>
      <w:r>
        <w:rPr>
          <w:rFonts w:ascii="Verdana" w:eastAsia="Verdana" w:hAnsi="Verdana" w:cs="Verdana"/>
          <w:i w:val="0"/>
          <w:iCs w:val="0"/>
          <w:sz w:val="22"/>
          <w:szCs w:val="22"/>
        </w:rPr>
        <w:t>La adopción de medidas de contingencia deberá responder a los niveles de alerta y demás parámetros definidos por cada cooperativa y fondo de empleados, garantizando la disponibilidad de recursos suficientes para atender oportunamente sus obligaciones.</w:t>
      </w:r>
    </w:p>
    <w:p w14:paraId="43D605CE" w14:textId="77777777" w:rsidR="005142DB" w:rsidRDefault="005142DB">
      <w:pPr>
        <w:jc w:val="both"/>
        <w:rPr>
          <w:rFonts w:ascii="Verdana" w:eastAsia="Verdana" w:hAnsi="Verdana" w:cs="Verdana"/>
          <w:i w:val="0"/>
          <w:iCs w:val="0"/>
          <w:sz w:val="22"/>
          <w:szCs w:val="22"/>
        </w:rPr>
      </w:pPr>
    </w:p>
    <w:p w14:paraId="04A97D9E"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Quinta: Continuidad en la prestación de los servicios.</w:t>
      </w:r>
    </w:p>
    <w:p w14:paraId="7544B857"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6860C64F"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Las empresas solidarias vigiladas deberán procurar la continuidad en la prestación de sus servicios a los asociados y usuarios, particularmente a través de sus oficinas y demás canales habilitados, siempre que las condiciones operativas, de seguridad y de orden público lo permitan.</w:t>
      </w:r>
    </w:p>
    <w:p w14:paraId="63A4A355"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3E1ADD87" w14:textId="77777777" w:rsidR="005142DB" w:rsidRDefault="009F315A">
      <w:pPr>
        <w:jc w:val="both"/>
        <w:rPr>
          <w:rFonts w:ascii="Verdana" w:eastAsia="Verdana" w:hAnsi="Verdana" w:cs="Verdana"/>
          <w:i w:val="0"/>
          <w:iCs w:val="0"/>
          <w:color w:val="0000FF"/>
          <w:sz w:val="22"/>
          <w:szCs w:val="22"/>
        </w:rPr>
      </w:pPr>
      <w:r>
        <w:rPr>
          <w:rFonts w:ascii="Verdana" w:eastAsia="Verdana" w:hAnsi="Verdana" w:cs="Verdana"/>
          <w:i w:val="0"/>
          <w:iCs w:val="0"/>
          <w:sz w:val="22"/>
          <w:szCs w:val="22"/>
        </w:rPr>
        <w:t>Así mismo, deberán informar oportunamente a sus asociados los canales disponibles para la prestación de los servicios, procurando garantizar su continuidad, accesibilidad y adecuada atención.</w:t>
      </w:r>
    </w:p>
    <w:p w14:paraId="27B1623B" w14:textId="77777777" w:rsidR="005142DB" w:rsidRDefault="005142DB">
      <w:pPr>
        <w:jc w:val="both"/>
        <w:rPr>
          <w:rFonts w:ascii="Verdana" w:eastAsia="Verdana" w:hAnsi="Verdana" w:cs="Verdana"/>
          <w:i w:val="0"/>
          <w:iCs w:val="0"/>
          <w:color w:val="0000FF"/>
          <w:sz w:val="22"/>
          <w:szCs w:val="22"/>
        </w:rPr>
      </w:pPr>
    </w:p>
    <w:p w14:paraId="5B123145"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Sexta:</w:t>
      </w:r>
      <w:r>
        <w:rPr>
          <w:rFonts w:ascii="Verdana" w:eastAsia="Verdana" w:hAnsi="Verdana" w:cs="Verdana"/>
          <w:i w:val="0"/>
          <w:iCs w:val="0"/>
          <w:sz w:val="22"/>
          <w:szCs w:val="22"/>
        </w:rPr>
        <w:t xml:space="preserve"> </w:t>
      </w:r>
      <w:r>
        <w:rPr>
          <w:rFonts w:ascii="Verdana" w:eastAsia="Verdana" w:hAnsi="Verdana" w:cs="Verdana"/>
          <w:b/>
          <w:bCs/>
          <w:i w:val="0"/>
          <w:iCs w:val="0"/>
          <w:sz w:val="22"/>
          <w:szCs w:val="22"/>
        </w:rPr>
        <w:t>Modificación de horarios de atención.</w:t>
      </w:r>
    </w:p>
    <w:p w14:paraId="63F91AFA" w14:textId="77777777" w:rsidR="005142DB" w:rsidRDefault="005142DB">
      <w:pPr>
        <w:jc w:val="both"/>
        <w:rPr>
          <w:rFonts w:ascii="Verdana" w:eastAsia="Verdana" w:hAnsi="Verdana" w:cs="Verdana"/>
          <w:b/>
          <w:bCs/>
          <w:i w:val="0"/>
          <w:iCs w:val="0"/>
          <w:sz w:val="22"/>
          <w:szCs w:val="22"/>
        </w:rPr>
      </w:pPr>
    </w:p>
    <w:p w14:paraId="668CCCC6"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En caso de que las entidades solidarias afectadas consideren necesario modificar sus horarios de atención a los asociados y al público en general, deberán informar oportunamente dicha decisión a los interesados a través de los canales autorizados. La información deberá divulgarse mediante mecanismos y canales de comunicación idóneos que permitan su conocimiento oportuno por parte del mayor número posible de asociados y usuarios.</w:t>
      </w:r>
    </w:p>
    <w:p w14:paraId="4298AD9C" w14:textId="77777777" w:rsidR="005142DB" w:rsidRDefault="005142DB">
      <w:pPr>
        <w:jc w:val="both"/>
        <w:rPr>
          <w:rFonts w:ascii="Verdana" w:eastAsia="Verdana" w:hAnsi="Verdana" w:cs="Verdana"/>
          <w:i w:val="0"/>
          <w:iCs w:val="0"/>
          <w:sz w:val="22"/>
          <w:szCs w:val="22"/>
        </w:rPr>
      </w:pPr>
    </w:p>
    <w:p w14:paraId="7648FFCD"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La modificación de horarios deberá obedecer a circunstancias objetivas y encontrarse debidamente soportada por la empresa solidaria.</w:t>
      </w:r>
    </w:p>
    <w:p w14:paraId="698A5C46" w14:textId="77777777" w:rsidR="005142DB" w:rsidRDefault="005142DB">
      <w:pPr>
        <w:jc w:val="both"/>
        <w:rPr>
          <w:rFonts w:ascii="Verdana" w:eastAsia="Verdana" w:hAnsi="Verdana" w:cs="Verdana"/>
          <w:i w:val="0"/>
          <w:iCs w:val="0"/>
          <w:sz w:val="22"/>
          <w:szCs w:val="22"/>
        </w:rPr>
      </w:pPr>
    </w:p>
    <w:p w14:paraId="7C02CC8E"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Para las cooperativas de ahorro y crédito y las cooperativas multiactivas e integrales con sección de ahorro y crédito, dicha información deberá comunicarse de conformidad con las instrucciones establecidas en el Capítulo IX del Título II de la Circular Básica Jurídica.</w:t>
      </w:r>
    </w:p>
    <w:p w14:paraId="126E6FB4" w14:textId="22DF7DC8"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72E92DB5" w14:textId="768B609A" w:rsidR="008A40A4" w:rsidRDefault="008A40A4">
      <w:pPr>
        <w:jc w:val="both"/>
        <w:rPr>
          <w:rFonts w:ascii="Verdana" w:eastAsia="Verdana" w:hAnsi="Verdana" w:cs="Verdana"/>
          <w:i w:val="0"/>
          <w:iCs w:val="0"/>
          <w:sz w:val="22"/>
          <w:szCs w:val="22"/>
        </w:rPr>
      </w:pPr>
    </w:p>
    <w:p w14:paraId="5C05EADB" w14:textId="77777777" w:rsidR="008A40A4" w:rsidRDefault="008A40A4">
      <w:pPr>
        <w:jc w:val="both"/>
        <w:rPr>
          <w:rFonts w:ascii="Verdana" w:eastAsia="Verdana" w:hAnsi="Verdana" w:cs="Verdana"/>
          <w:i w:val="0"/>
          <w:iCs w:val="0"/>
          <w:sz w:val="22"/>
          <w:szCs w:val="22"/>
        </w:rPr>
      </w:pPr>
    </w:p>
    <w:p w14:paraId="31C019A5"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t>Séptima: Vigencia</w:t>
      </w:r>
    </w:p>
    <w:p w14:paraId="31A48CD5" w14:textId="77777777" w:rsidR="005142DB" w:rsidRDefault="009F315A">
      <w:pPr>
        <w:jc w:val="both"/>
        <w:rPr>
          <w:rFonts w:ascii="Verdana" w:eastAsia="Verdana" w:hAnsi="Verdana" w:cs="Verdana"/>
          <w:b/>
          <w:bCs/>
          <w:i w:val="0"/>
          <w:iCs w:val="0"/>
          <w:sz w:val="22"/>
          <w:szCs w:val="22"/>
        </w:rPr>
      </w:pPr>
      <w:r>
        <w:rPr>
          <w:rFonts w:ascii="Verdana" w:eastAsia="Verdana" w:hAnsi="Verdana" w:cs="Verdana"/>
          <w:b/>
          <w:bCs/>
          <w:i w:val="0"/>
          <w:iCs w:val="0"/>
          <w:sz w:val="22"/>
          <w:szCs w:val="22"/>
        </w:rPr>
        <w:lastRenderedPageBreak/>
        <w:t xml:space="preserve"> </w:t>
      </w:r>
    </w:p>
    <w:p w14:paraId="10BBA292"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Las instrucciones relacionadas con los reportes de información financiera serán aplicables exclusivamente al reporte correspondiente a los cortes señalados en la instrucción primera, sin que impliquen modificación permanente de los plazos establecidos en el numeral 6.2.2 del Capítulo I del Título II de la Circular Básica Contable y Financiera. En consecuencia, una vez finalizado el período objeto de la presente medida, las empresas solidarias deberán retomar los plazos ordinarios establecidos en las disposiciones vigentes, salvo que esta Superintendencia disponga lo contrario mediante acto posterior.</w:t>
      </w:r>
    </w:p>
    <w:p w14:paraId="095870B1" w14:textId="77777777" w:rsidR="005142DB" w:rsidRDefault="005142DB">
      <w:pPr>
        <w:jc w:val="both"/>
        <w:rPr>
          <w:rFonts w:ascii="Verdana" w:eastAsia="Verdana" w:hAnsi="Verdana" w:cs="Verdana"/>
          <w:i w:val="0"/>
          <w:iCs w:val="0"/>
          <w:sz w:val="22"/>
          <w:szCs w:val="22"/>
        </w:rPr>
      </w:pPr>
    </w:p>
    <w:p w14:paraId="20E7EBE0"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Las instrucciones señaladas en el numeral segundo de la presente Circular tendrán carácter transitorio y estarán vigentes durante el término que establece el Decreto 1171 del 11 de agosto de 2026.</w:t>
      </w:r>
    </w:p>
    <w:p w14:paraId="7C50C557" w14:textId="77777777" w:rsidR="005142DB" w:rsidRDefault="005142DB">
      <w:pPr>
        <w:jc w:val="both"/>
        <w:rPr>
          <w:rFonts w:ascii="Verdana" w:eastAsia="Verdana" w:hAnsi="Verdana" w:cs="Verdana"/>
          <w:b/>
          <w:bCs/>
          <w:i w:val="0"/>
          <w:iCs w:val="0"/>
          <w:sz w:val="22"/>
          <w:szCs w:val="22"/>
        </w:rPr>
      </w:pPr>
    </w:p>
    <w:p w14:paraId="41AF9A0F"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De conformidad con lo previsto en el inciso primero del artículo 65 de la Ley 1437 de 2011, la presente Circular rige a partir de la fecha de su publicación en el Diario Oficial</w:t>
      </w:r>
    </w:p>
    <w:p w14:paraId="08B60A3E"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Cordialmente,</w:t>
      </w:r>
    </w:p>
    <w:p w14:paraId="4AB3A95D"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69754181"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525EE135"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1CF284F3"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1EE317D3"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0915C050" w14:textId="7A81FE1E" w:rsidR="005142DB" w:rsidRDefault="00452697">
      <w:pPr>
        <w:rPr>
          <w:rFonts w:ascii="Verdana" w:eastAsia="Verdana" w:hAnsi="Verdana" w:cs="Verdana"/>
          <w:b/>
          <w:bCs/>
          <w:i w:val="0"/>
          <w:iCs w:val="0"/>
          <w:sz w:val="22"/>
          <w:szCs w:val="22"/>
        </w:rPr>
      </w:pPr>
      <w:r>
        <w:rPr>
          <w:rFonts w:ascii="Verdana" w:eastAsia="Verdana" w:hAnsi="Verdana" w:cs="Verdana"/>
          <w:b/>
          <w:bCs/>
          <w:i w:val="0"/>
          <w:iCs w:val="0"/>
          <w:sz w:val="22"/>
          <w:szCs w:val="22"/>
        </w:rPr>
        <w:t>Dia</w:t>
      </w:r>
      <w:r w:rsidR="008A40A4">
        <w:rPr>
          <w:rFonts w:ascii="Verdana" w:eastAsia="Verdana" w:hAnsi="Verdana" w:cs="Verdana"/>
          <w:b/>
          <w:bCs/>
          <w:i w:val="0"/>
          <w:iCs w:val="0"/>
          <w:sz w:val="22"/>
          <w:szCs w:val="22"/>
        </w:rPr>
        <w:t>n</w:t>
      </w:r>
      <w:r>
        <w:rPr>
          <w:rFonts w:ascii="Verdana" w:eastAsia="Verdana" w:hAnsi="Verdana" w:cs="Verdana"/>
          <w:b/>
          <w:bCs/>
          <w:i w:val="0"/>
          <w:iCs w:val="0"/>
          <w:sz w:val="22"/>
          <w:szCs w:val="22"/>
        </w:rPr>
        <w:t>a Milena Contreras León</w:t>
      </w:r>
    </w:p>
    <w:p w14:paraId="227F7B8E" w14:textId="1D392128" w:rsidR="005142DB" w:rsidRPr="008A40A4" w:rsidRDefault="00452697">
      <w:pPr>
        <w:rPr>
          <w:rFonts w:ascii="Verdana" w:eastAsia="Verdana" w:hAnsi="Verdana" w:cs="Verdana"/>
          <w:i w:val="0"/>
          <w:iCs w:val="0"/>
          <w:sz w:val="22"/>
          <w:szCs w:val="22"/>
        </w:rPr>
      </w:pPr>
      <w:r w:rsidRPr="008A40A4">
        <w:rPr>
          <w:rFonts w:ascii="Verdana" w:eastAsia="Verdana" w:hAnsi="Verdana" w:cs="Verdana"/>
          <w:i w:val="0"/>
          <w:iCs w:val="0"/>
          <w:sz w:val="22"/>
          <w:szCs w:val="22"/>
        </w:rPr>
        <w:t>Superintendenta (E)</w:t>
      </w:r>
    </w:p>
    <w:p w14:paraId="33B9C2B7" w14:textId="7344411A" w:rsidR="00452697" w:rsidRPr="00452697" w:rsidRDefault="00452697">
      <w:pPr>
        <w:rPr>
          <w:rFonts w:ascii="Verdana" w:eastAsia="Verdana" w:hAnsi="Verdana" w:cs="Verdana"/>
          <w:i w:val="0"/>
          <w:iCs w:val="0"/>
          <w:sz w:val="22"/>
          <w:szCs w:val="22"/>
        </w:rPr>
      </w:pPr>
      <w:r w:rsidRPr="00452697">
        <w:rPr>
          <w:rFonts w:ascii="Verdana" w:eastAsia="Verdana" w:hAnsi="Verdana" w:cs="Verdana"/>
          <w:i w:val="0"/>
          <w:iCs w:val="0"/>
          <w:sz w:val="22"/>
          <w:szCs w:val="22"/>
        </w:rPr>
        <w:t>Superintendencia de Economía Solidaria</w:t>
      </w:r>
    </w:p>
    <w:p w14:paraId="0FB3BCCC" w14:textId="77777777" w:rsidR="005142DB" w:rsidRDefault="009F315A">
      <w:pPr>
        <w:jc w:val="both"/>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2B121D7D" w14:textId="3DF54BEA" w:rsidR="005217E8" w:rsidRDefault="009F315A" w:rsidP="005217E8">
      <w:pPr>
        <w:rPr>
          <w:rFonts w:ascii="Verdana" w:eastAsia="Verdana" w:hAnsi="Verdana" w:cs="Verdana"/>
          <w:i w:val="0"/>
          <w:iCs w:val="0"/>
          <w:sz w:val="15"/>
          <w:szCs w:val="15"/>
        </w:rPr>
      </w:pPr>
      <w:r>
        <w:rPr>
          <w:rFonts w:ascii="Verdana" w:eastAsia="Verdana" w:hAnsi="Verdana" w:cs="Verdana"/>
          <w:i w:val="0"/>
          <w:iCs w:val="0"/>
          <w:sz w:val="15"/>
          <w:szCs w:val="15"/>
        </w:rPr>
        <w:t xml:space="preserve">Proyectó: </w:t>
      </w:r>
      <w:r w:rsidR="005217E8" w:rsidRPr="005217E8">
        <w:rPr>
          <w:rFonts w:ascii="Verdana" w:eastAsia="Verdana" w:hAnsi="Verdana" w:cs="Verdana"/>
          <w:i w:val="0"/>
          <w:iCs w:val="0"/>
          <w:sz w:val="15"/>
          <w:szCs w:val="15"/>
        </w:rPr>
        <w:t xml:space="preserve">Bertha Marcela Orjuela </w:t>
      </w:r>
      <w:proofErr w:type="spellStart"/>
      <w:r w:rsidR="005217E8" w:rsidRPr="005217E8">
        <w:rPr>
          <w:rFonts w:ascii="Verdana" w:eastAsia="Verdana" w:hAnsi="Verdana" w:cs="Verdana"/>
          <w:i w:val="0"/>
          <w:iCs w:val="0"/>
          <w:sz w:val="15"/>
          <w:szCs w:val="15"/>
        </w:rPr>
        <w:t>Russi</w:t>
      </w:r>
      <w:proofErr w:type="spellEnd"/>
      <w:r w:rsidR="005217E8">
        <w:rPr>
          <w:rFonts w:ascii="Verdana" w:eastAsia="Verdana" w:hAnsi="Verdana" w:cs="Verdana"/>
          <w:i w:val="0"/>
          <w:iCs w:val="0"/>
          <w:sz w:val="15"/>
          <w:szCs w:val="15"/>
        </w:rPr>
        <w:t xml:space="preserve"> </w:t>
      </w:r>
    </w:p>
    <w:p w14:paraId="631DF79B" w14:textId="066E341E" w:rsidR="005217E8" w:rsidRDefault="005217E8" w:rsidP="005217E8">
      <w:pPr>
        <w:ind w:firstLine="720"/>
        <w:rPr>
          <w:rFonts w:ascii="Verdana" w:eastAsia="Verdana" w:hAnsi="Verdana" w:cs="Verdana"/>
          <w:i w:val="0"/>
          <w:iCs w:val="0"/>
          <w:sz w:val="15"/>
          <w:szCs w:val="15"/>
        </w:rPr>
      </w:pPr>
      <w:r>
        <w:rPr>
          <w:rFonts w:ascii="Verdana" w:eastAsia="Verdana" w:hAnsi="Verdana" w:cs="Verdana"/>
          <w:i w:val="0"/>
          <w:iCs w:val="0"/>
          <w:sz w:val="15"/>
          <w:szCs w:val="15"/>
        </w:rPr>
        <w:t xml:space="preserve"> </w:t>
      </w:r>
      <w:r w:rsidRPr="005217E8">
        <w:rPr>
          <w:rFonts w:ascii="Verdana" w:eastAsia="Verdana" w:hAnsi="Verdana" w:cs="Verdana"/>
          <w:i w:val="0"/>
          <w:iCs w:val="0"/>
          <w:sz w:val="15"/>
          <w:szCs w:val="15"/>
        </w:rPr>
        <w:t xml:space="preserve">Diana </w:t>
      </w:r>
      <w:proofErr w:type="spellStart"/>
      <w:r w:rsidRPr="005217E8">
        <w:rPr>
          <w:rFonts w:ascii="Verdana" w:eastAsia="Verdana" w:hAnsi="Verdana" w:cs="Verdana"/>
          <w:i w:val="0"/>
          <w:iCs w:val="0"/>
          <w:sz w:val="15"/>
          <w:szCs w:val="15"/>
        </w:rPr>
        <w:t>Rocio</w:t>
      </w:r>
      <w:proofErr w:type="spellEnd"/>
      <w:r w:rsidRPr="005217E8">
        <w:rPr>
          <w:rFonts w:ascii="Verdana" w:eastAsia="Verdana" w:hAnsi="Verdana" w:cs="Verdana"/>
          <w:i w:val="0"/>
          <w:iCs w:val="0"/>
          <w:sz w:val="15"/>
          <w:szCs w:val="15"/>
        </w:rPr>
        <w:t xml:space="preserve"> Osorio Ortiz </w:t>
      </w:r>
    </w:p>
    <w:p w14:paraId="4685432B" w14:textId="4CD209C9" w:rsidR="005217E8" w:rsidRDefault="005217E8" w:rsidP="005217E8">
      <w:pPr>
        <w:ind w:firstLine="720"/>
        <w:rPr>
          <w:rFonts w:ascii="Verdana" w:eastAsia="Verdana" w:hAnsi="Verdana" w:cs="Verdana"/>
          <w:i w:val="0"/>
          <w:iCs w:val="0"/>
          <w:sz w:val="15"/>
          <w:szCs w:val="15"/>
        </w:rPr>
      </w:pPr>
      <w:r>
        <w:rPr>
          <w:rFonts w:ascii="Verdana" w:eastAsia="Verdana" w:hAnsi="Verdana" w:cs="Verdana"/>
          <w:i w:val="0"/>
          <w:iCs w:val="0"/>
          <w:sz w:val="15"/>
          <w:szCs w:val="15"/>
        </w:rPr>
        <w:t xml:space="preserve"> </w:t>
      </w:r>
      <w:r w:rsidRPr="005217E8">
        <w:rPr>
          <w:rFonts w:ascii="Verdana" w:eastAsia="Verdana" w:hAnsi="Verdana" w:cs="Verdana"/>
          <w:i w:val="0"/>
          <w:iCs w:val="0"/>
          <w:sz w:val="15"/>
          <w:szCs w:val="15"/>
        </w:rPr>
        <w:t xml:space="preserve">Edgar Javier </w:t>
      </w:r>
      <w:proofErr w:type="spellStart"/>
      <w:r w:rsidRPr="005217E8">
        <w:rPr>
          <w:rFonts w:ascii="Verdana" w:eastAsia="Verdana" w:hAnsi="Verdana" w:cs="Verdana"/>
          <w:i w:val="0"/>
          <w:iCs w:val="0"/>
          <w:sz w:val="15"/>
          <w:szCs w:val="15"/>
        </w:rPr>
        <w:t>Garcia</w:t>
      </w:r>
      <w:proofErr w:type="spellEnd"/>
      <w:r w:rsidRPr="005217E8">
        <w:rPr>
          <w:rFonts w:ascii="Verdana" w:eastAsia="Verdana" w:hAnsi="Verdana" w:cs="Verdana"/>
          <w:i w:val="0"/>
          <w:iCs w:val="0"/>
          <w:sz w:val="15"/>
          <w:szCs w:val="15"/>
        </w:rPr>
        <w:t xml:space="preserve"> Soto </w:t>
      </w:r>
    </w:p>
    <w:p w14:paraId="4B2065BE" w14:textId="30CE4846" w:rsidR="005217E8" w:rsidRDefault="005217E8" w:rsidP="005217E8">
      <w:pPr>
        <w:ind w:firstLine="720"/>
        <w:rPr>
          <w:rFonts w:ascii="Verdana" w:eastAsia="Verdana" w:hAnsi="Verdana" w:cs="Verdana"/>
          <w:i w:val="0"/>
          <w:iCs w:val="0"/>
          <w:sz w:val="15"/>
          <w:szCs w:val="15"/>
        </w:rPr>
      </w:pPr>
      <w:r>
        <w:rPr>
          <w:rFonts w:ascii="Verdana" w:eastAsia="Verdana" w:hAnsi="Verdana" w:cs="Verdana"/>
          <w:i w:val="0"/>
          <w:iCs w:val="0"/>
          <w:sz w:val="15"/>
          <w:szCs w:val="15"/>
        </w:rPr>
        <w:t xml:space="preserve"> </w:t>
      </w:r>
      <w:r w:rsidRPr="005217E8">
        <w:rPr>
          <w:rFonts w:ascii="Verdana" w:eastAsia="Verdana" w:hAnsi="Verdana" w:cs="Verdana"/>
          <w:i w:val="0"/>
          <w:iCs w:val="0"/>
          <w:sz w:val="15"/>
          <w:szCs w:val="15"/>
        </w:rPr>
        <w:t xml:space="preserve">Jenny Andrea </w:t>
      </w:r>
      <w:proofErr w:type="spellStart"/>
      <w:r w:rsidRPr="005217E8">
        <w:rPr>
          <w:rFonts w:ascii="Verdana" w:eastAsia="Verdana" w:hAnsi="Verdana" w:cs="Verdana"/>
          <w:i w:val="0"/>
          <w:iCs w:val="0"/>
          <w:sz w:val="15"/>
          <w:szCs w:val="15"/>
        </w:rPr>
        <w:t>Narvaez</w:t>
      </w:r>
      <w:proofErr w:type="spellEnd"/>
      <w:r w:rsidRPr="005217E8">
        <w:rPr>
          <w:rFonts w:ascii="Verdana" w:eastAsia="Verdana" w:hAnsi="Verdana" w:cs="Verdana"/>
          <w:i w:val="0"/>
          <w:iCs w:val="0"/>
          <w:sz w:val="15"/>
          <w:szCs w:val="15"/>
        </w:rPr>
        <w:t xml:space="preserve"> </w:t>
      </w:r>
      <w:proofErr w:type="spellStart"/>
      <w:r w:rsidRPr="005217E8">
        <w:rPr>
          <w:rFonts w:ascii="Verdana" w:eastAsia="Verdana" w:hAnsi="Verdana" w:cs="Verdana"/>
          <w:i w:val="0"/>
          <w:iCs w:val="0"/>
          <w:sz w:val="15"/>
          <w:szCs w:val="15"/>
        </w:rPr>
        <w:t>Casadiego</w:t>
      </w:r>
      <w:proofErr w:type="spellEnd"/>
      <w:r w:rsidRPr="005217E8">
        <w:rPr>
          <w:rFonts w:ascii="Verdana" w:eastAsia="Verdana" w:hAnsi="Verdana" w:cs="Verdana"/>
          <w:i w:val="0"/>
          <w:iCs w:val="0"/>
          <w:sz w:val="15"/>
          <w:szCs w:val="15"/>
        </w:rPr>
        <w:t xml:space="preserve"> </w:t>
      </w:r>
    </w:p>
    <w:p w14:paraId="60B58CB7" w14:textId="74B7809D" w:rsidR="005217E8" w:rsidRDefault="005217E8" w:rsidP="005217E8">
      <w:pPr>
        <w:ind w:firstLine="720"/>
        <w:rPr>
          <w:rFonts w:ascii="Verdana" w:eastAsia="Verdana" w:hAnsi="Verdana" w:cs="Verdana"/>
          <w:i w:val="0"/>
          <w:iCs w:val="0"/>
          <w:sz w:val="15"/>
          <w:szCs w:val="15"/>
        </w:rPr>
      </w:pPr>
      <w:r>
        <w:rPr>
          <w:rFonts w:ascii="Verdana" w:eastAsia="Verdana" w:hAnsi="Verdana" w:cs="Verdana"/>
          <w:i w:val="0"/>
          <w:iCs w:val="0"/>
          <w:sz w:val="15"/>
          <w:szCs w:val="15"/>
        </w:rPr>
        <w:t xml:space="preserve"> </w:t>
      </w:r>
      <w:proofErr w:type="spellStart"/>
      <w:r w:rsidRPr="005217E8">
        <w:rPr>
          <w:rFonts w:ascii="Verdana" w:eastAsia="Verdana" w:hAnsi="Verdana" w:cs="Verdana"/>
          <w:i w:val="0"/>
          <w:iCs w:val="0"/>
          <w:sz w:val="15"/>
          <w:szCs w:val="15"/>
        </w:rPr>
        <w:t>Katherin</w:t>
      </w:r>
      <w:proofErr w:type="spellEnd"/>
      <w:r w:rsidRPr="005217E8">
        <w:rPr>
          <w:rFonts w:ascii="Verdana" w:eastAsia="Verdana" w:hAnsi="Verdana" w:cs="Verdana"/>
          <w:i w:val="0"/>
          <w:iCs w:val="0"/>
          <w:sz w:val="15"/>
          <w:szCs w:val="15"/>
        </w:rPr>
        <w:t xml:space="preserve"> Johanna </w:t>
      </w:r>
      <w:proofErr w:type="spellStart"/>
      <w:r w:rsidRPr="005217E8">
        <w:rPr>
          <w:rFonts w:ascii="Verdana" w:eastAsia="Verdana" w:hAnsi="Verdana" w:cs="Verdana"/>
          <w:i w:val="0"/>
          <w:iCs w:val="0"/>
          <w:sz w:val="15"/>
          <w:szCs w:val="15"/>
        </w:rPr>
        <w:t>Beltran</w:t>
      </w:r>
      <w:proofErr w:type="spellEnd"/>
      <w:r w:rsidRPr="005217E8">
        <w:rPr>
          <w:rFonts w:ascii="Verdana" w:eastAsia="Verdana" w:hAnsi="Verdana" w:cs="Verdana"/>
          <w:i w:val="0"/>
          <w:iCs w:val="0"/>
          <w:sz w:val="15"/>
          <w:szCs w:val="15"/>
        </w:rPr>
        <w:t xml:space="preserve"> Pico </w:t>
      </w:r>
    </w:p>
    <w:p w14:paraId="4436F497" w14:textId="3ECE0969" w:rsidR="005217E8" w:rsidRDefault="005217E8" w:rsidP="005217E8">
      <w:pPr>
        <w:ind w:firstLine="720"/>
        <w:rPr>
          <w:rFonts w:ascii="Verdana" w:eastAsia="Verdana" w:hAnsi="Verdana" w:cs="Verdana"/>
          <w:i w:val="0"/>
          <w:iCs w:val="0"/>
          <w:sz w:val="15"/>
          <w:szCs w:val="15"/>
        </w:rPr>
      </w:pPr>
      <w:r>
        <w:rPr>
          <w:rFonts w:ascii="Verdana" w:eastAsia="Verdana" w:hAnsi="Verdana" w:cs="Verdana"/>
          <w:i w:val="0"/>
          <w:iCs w:val="0"/>
          <w:sz w:val="15"/>
          <w:szCs w:val="15"/>
        </w:rPr>
        <w:t xml:space="preserve"> </w:t>
      </w:r>
      <w:proofErr w:type="spellStart"/>
      <w:r w:rsidRPr="005217E8">
        <w:rPr>
          <w:rFonts w:ascii="Verdana" w:eastAsia="Verdana" w:hAnsi="Verdana" w:cs="Verdana"/>
          <w:i w:val="0"/>
          <w:iCs w:val="0"/>
          <w:sz w:val="15"/>
          <w:szCs w:val="15"/>
        </w:rPr>
        <w:t>Marelvi</w:t>
      </w:r>
      <w:proofErr w:type="spellEnd"/>
      <w:r w:rsidRPr="005217E8">
        <w:rPr>
          <w:rFonts w:ascii="Verdana" w:eastAsia="Verdana" w:hAnsi="Verdana" w:cs="Verdana"/>
          <w:i w:val="0"/>
          <w:iCs w:val="0"/>
          <w:sz w:val="15"/>
          <w:szCs w:val="15"/>
        </w:rPr>
        <w:t xml:space="preserve"> Hortensia Bernal </w:t>
      </w:r>
      <w:proofErr w:type="spellStart"/>
      <w:r w:rsidRPr="005217E8">
        <w:rPr>
          <w:rFonts w:ascii="Verdana" w:eastAsia="Verdana" w:hAnsi="Verdana" w:cs="Verdana"/>
          <w:i w:val="0"/>
          <w:iCs w:val="0"/>
          <w:sz w:val="15"/>
          <w:szCs w:val="15"/>
        </w:rPr>
        <w:t>Nempeque</w:t>
      </w:r>
      <w:proofErr w:type="spellEnd"/>
    </w:p>
    <w:p w14:paraId="7D5E9926" w14:textId="014BDD16" w:rsidR="005142DB" w:rsidRDefault="005217E8" w:rsidP="005217E8">
      <w:pPr>
        <w:ind w:firstLine="720"/>
        <w:rPr>
          <w:rFonts w:ascii="Verdana" w:eastAsia="Verdana" w:hAnsi="Verdana" w:cs="Verdana"/>
          <w:i w:val="0"/>
          <w:iCs w:val="0"/>
          <w:sz w:val="15"/>
          <w:szCs w:val="15"/>
        </w:rPr>
      </w:pPr>
      <w:r>
        <w:rPr>
          <w:rFonts w:ascii="Verdana" w:eastAsia="Verdana" w:hAnsi="Verdana" w:cs="Verdana"/>
          <w:i w:val="0"/>
          <w:iCs w:val="0"/>
          <w:sz w:val="15"/>
          <w:szCs w:val="15"/>
        </w:rPr>
        <w:t xml:space="preserve"> </w:t>
      </w:r>
      <w:proofErr w:type="spellStart"/>
      <w:r w:rsidRPr="005217E8">
        <w:rPr>
          <w:rFonts w:ascii="Verdana" w:eastAsia="Verdana" w:hAnsi="Verdana" w:cs="Verdana"/>
          <w:i w:val="0"/>
          <w:iCs w:val="0"/>
          <w:sz w:val="15"/>
          <w:szCs w:val="15"/>
        </w:rPr>
        <w:t>Caterine</w:t>
      </w:r>
      <w:proofErr w:type="spellEnd"/>
      <w:r w:rsidRPr="005217E8">
        <w:rPr>
          <w:rFonts w:ascii="Verdana" w:eastAsia="Verdana" w:hAnsi="Verdana" w:cs="Verdana"/>
          <w:i w:val="0"/>
          <w:iCs w:val="0"/>
          <w:sz w:val="15"/>
          <w:szCs w:val="15"/>
        </w:rPr>
        <w:t xml:space="preserve"> </w:t>
      </w:r>
      <w:proofErr w:type="spellStart"/>
      <w:r w:rsidRPr="005217E8">
        <w:rPr>
          <w:rFonts w:ascii="Verdana" w:eastAsia="Verdana" w:hAnsi="Verdana" w:cs="Verdana"/>
          <w:i w:val="0"/>
          <w:iCs w:val="0"/>
          <w:sz w:val="15"/>
          <w:szCs w:val="15"/>
        </w:rPr>
        <w:t>Benitez</w:t>
      </w:r>
      <w:proofErr w:type="spellEnd"/>
      <w:r w:rsidRPr="005217E8">
        <w:rPr>
          <w:rFonts w:ascii="Verdana" w:eastAsia="Verdana" w:hAnsi="Verdana" w:cs="Verdana"/>
          <w:i w:val="0"/>
          <w:iCs w:val="0"/>
          <w:sz w:val="15"/>
          <w:szCs w:val="15"/>
        </w:rPr>
        <w:t xml:space="preserve"> </w:t>
      </w:r>
      <w:proofErr w:type="spellStart"/>
      <w:r w:rsidRPr="005217E8">
        <w:rPr>
          <w:rFonts w:ascii="Verdana" w:eastAsia="Verdana" w:hAnsi="Verdana" w:cs="Verdana"/>
          <w:i w:val="0"/>
          <w:iCs w:val="0"/>
          <w:sz w:val="15"/>
          <w:szCs w:val="15"/>
        </w:rPr>
        <w:t>Cardenas</w:t>
      </w:r>
      <w:proofErr w:type="spellEnd"/>
      <w:r w:rsidRPr="005217E8">
        <w:rPr>
          <w:rFonts w:ascii="Verdana" w:eastAsia="Verdana" w:hAnsi="Verdana" w:cs="Verdana"/>
          <w:i w:val="0"/>
          <w:iCs w:val="0"/>
          <w:sz w:val="15"/>
          <w:szCs w:val="15"/>
        </w:rPr>
        <w:t xml:space="preserve"> </w:t>
      </w:r>
    </w:p>
    <w:p w14:paraId="31264C1A" w14:textId="566D4399" w:rsidR="005142DB" w:rsidRDefault="009F315A">
      <w:pPr>
        <w:rPr>
          <w:rFonts w:ascii="Verdana" w:eastAsia="Verdana" w:hAnsi="Verdana" w:cs="Verdana"/>
          <w:i w:val="0"/>
          <w:iCs w:val="0"/>
          <w:sz w:val="15"/>
          <w:szCs w:val="15"/>
        </w:rPr>
      </w:pPr>
      <w:r>
        <w:rPr>
          <w:rFonts w:ascii="Verdana" w:eastAsia="Verdana" w:hAnsi="Verdana" w:cs="Verdana"/>
          <w:i w:val="0"/>
          <w:iCs w:val="0"/>
          <w:sz w:val="15"/>
          <w:szCs w:val="15"/>
        </w:rPr>
        <w:t xml:space="preserve">Revisó:  </w:t>
      </w:r>
      <w:r w:rsidR="005217E8">
        <w:rPr>
          <w:rFonts w:ascii="Verdana" w:eastAsia="Verdana" w:hAnsi="Verdana" w:cs="Verdana"/>
          <w:i w:val="0"/>
          <w:iCs w:val="0"/>
          <w:sz w:val="15"/>
          <w:szCs w:val="15"/>
        </w:rPr>
        <w:t xml:space="preserve"> </w:t>
      </w:r>
      <w:r w:rsidR="005217E8" w:rsidRPr="005217E8">
        <w:rPr>
          <w:rFonts w:ascii="Verdana" w:eastAsia="Verdana" w:hAnsi="Verdana" w:cs="Verdana"/>
          <w:i w:val="0"/>
          <w:iCs w:val="0"/>
          <w:sz w:val="15"/>
          <w:szCs w:val="15"/>
        </w:rPr>
        <w:t>Andrea Camila Acosta Hernandez</w:t>
      </w:r>
    </w:p>
    <w:p w14:paraId="76DC8146" w14:textId="2C50874D" w:rsidR="005217E8" w:rsidRDefault="005217E8" w:rsidP="005217E8">
      <w:pPr>
        <w:ind w:firstLine="720"/>
        <w:rPr>
          <w:rFonts w:ascii="Verdana" w:eastAsia="Verdana" w:hAnsi="Verdana" w:cs="Verdana"/>
          <w:i w:val="0"/>
          <w:iCs w:val="0"/>
          <w:sz w:val="15"/>
          <w:szCs w:val="15"/>
        </w:rPr>
      </w:pPr>
      <w:proofErr w:type="spellStart"/>
      <w:r>
        <w:rPr>
          <w:rFonts w:ascii="Verdana" w:eastAsia="Verdana" w:hAnsi="Verdana" w:cs="Verdana"/>
          <w:i w:val="0"/>
          <w:iCs w:val="0"/>
          <w:sz w:val="15"/>
          <w:szCs w:val="15"/>
        </w:rPr>
        <w:t>Jhaniela</w:t>
      </w:r>
      <w:proofErr w:type="spellEnd"/>
      <w:r>
        <w:rPr>
          <w:rFonts w:ascii="Verdana" w:eastAsia="Verdana" w:hAnsi="Verdana" w:cs="Verdana"/>
          <w:i w:val="0"/>
          <w:iCs w:val="0"/>
          <w:sz w:val="15"/>
          <w:szCs w:val="15"/>
        </w:rPr>
        <w:t xml:space="preserve"> </w:t>
      </w:r>
      <w:proofErr w:type="spellStart"/>
      <w:r>
        <w:rPr>
          <w:rFonts w:ascii="Verdana" w:eastAsia="Verdana" w:hAnsi="Verdana" w:cs="Verdana"/>
          <w:i w:val="0"/>
          <w:iCs w:val="0"/>
          <w:sz w:val="15"/>
          <w:szCs w:val="15"/>
        </w:rPr>
        <w:t>Jimenez</w:t>
      </w:r>
      <w:proofErr w:type="spellEnd"/>
      <w:r>
        <w:rPr>
          <w:rFonts w:ascii="Verdana" w:eastAsia="Verdana" w:hAnsi="Verdana" w:cs="Verdana"/>
          <w:i w:val="0"/>
          <w:iCs w:val="0"/>
          <w:sz w:val="15"/>
          <w:szCs w:val="15"/>
        </w:rPr>
        <w:t xml:space="preserve"> </w:t>
      </w:r>
      <w:proofErr w:type="spellStart"/>
      <w:r>
        <w:rPr>
          <w:rFonts w:ascii="Verdana" w:eastAsia="Verdana" w:hAnsi="Verdana" w:cs="Verdana"/>
          <w:i w:val="0"/>
          <w:iCs w:val="0"/>
          <w:sz w:val="15"/>
          <w:szCs w:val="15"/>
        </w:rPr>
        <w:t>Gutierrez</w:t>
      </w:r>
      <w:proofErr w:type="spellEnd"/>
    </w:p>
    <w:p w14:paraId="254260AE" w14:textId="28635BC8" w:rsidR="005142DB" w:rsidRDefault="005142DB">
      <w:pPr>
        <w:rPr>
          <w:rFonts w:ascii="Verdana" w:eastAsia="Verdana" w:hAnsi="Verdana" w:cs="Verdana"/>
          <w:i w:val="0"/>
          <w:iCs w:val="0"/>
          <w:sz w:val="15"/>
          <w:szCs w:val="15"/>
        </w:rPr>
      </w:pPr>
    </w:p>
    <w:p w14:paraId="7E83C7E0" w14:textId="77777777" w:rsidR="005142DB" w:rsidRDefault="009F315A">
      <w:pPr>
        <w:rPr>
          <w:rFonts w:ascii="Verdana" w:eastAsia="Verdana" w:hAnsi="Verdana" w:cs="Verdana"/>
          <w:i w:val="0"/>
          <w:iCs w:val="0"/>
          <w:sz w:val="22"/>
          <w:szCs w:val="22"/>
        </w:rPr>
      </w:pPr>
      <w:r>
        <w:rPr>
          <w:rFonts w:ascii="Verdana" w:eastAsia="Verdana" w:hAnsi="Verdana" w:cs="Verdana"/>
          <w:i w:val="0"/>
          <w:iCs w:val="0"/>
          <w:sz w:val="22"/>
          <w:szCs w:val="22"/>
        </w:rPr>
        <w:t xml:space="preserve"> </w:t>
      </w:r>
    </w:p>
    <w:p w14:paraId="2097E652" w14:textId="77777777" w:rsidR="005142DB" w:rsidRDefault="005142DB">
      <w:pPr>
        <w:rPr>
          <w:rFonts w:ascii="Verdana" w:eastAsia="Verdana" w:hAnsi="Verdana" w:cs="Verdana"/>
          <w:color w:val="2F5496"/>
          <w:sz w:val="22"/>
          <w:szCs w:val="22"/>
        </w:rPr>
      </w:pPr>
    </w:p>
    <w:sectPr w:rsidR="005142DB">
      <w:headerReference w:type="default" r:id="rId9"/>
      <w:footerReference w:type="default" r:id="rId10"/>
      <w:pgSz w:w="12240" w:h="15840"/>
      <w:pgMar w:top="2268"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BE453" w14:textId="77777777" w:rsidR="00A54699" w:rsidRDefault="00A54699">
      <w:r>
        <w:separator/>
      </w:r>
    </w:p>
  </w:endnote>
  <w:endnote w:type="continuationSeparator" w:id="0">
    <w:p w14:paraId="2122AB43" w14:textId="77777777" w:rsidR="00A54699" w:rsidRDefault="00A5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embedBold r:id="rId1" w:fontKey="{C6C7F200-C3B2-4BF4-BC46-40827586A92D}"/>
  </w:font>
  <w:font w:name="Georgia">
    <w:panose1 w:val="02040502050405020303"/>
    <w:charset w:val="00"/>
    <w:family w:val="roman"/>
    <w:pitch w:val="variable"/>
    <w:sig w:usb0="00000287" w:usb1="00000000" w:usb2="00000000" w:usb3="00000000" w:csb0="0000009F" w:csb1="00000000"/>
    <w:embedItalic r:id="rId2" w:fontKey="{6DA409C5-5385-4CDA-999B-92A5CA36B43D}"/>
  </w:font>
  <w:font w:name="Verdana">
    <w:panose1 w:val="020B0604030504040204"/>
    <w:charset w:val="00"/>
    <w:family w:val="swiss"/>
    <w:pitch w:val="variable"/>
    <w:sig w:usb0="20000287" w:usb1="00000000" w:usb2="00000000" w:usb3="00000000" w:csb0="0000019F" w:csb1="00000000"/>
    <w:embedRegular r:id="rId3" w:fontKey="{08D6C0C8-C881-44B9-BC45-97156EA11C1E}"/>
    <w:embedBold r:id="rId4" w:fontKey="{0FAE4A28-E321-4A6A-BBAC-B2F0F4A171AD}"/>
    <w:embedItalic r:id="rId5" w:fontKey="{470E97DE-4F03-4E6C-A597-67395F79058A}"/>
    <w:embedBoldItalic r:id="rId6" w:fontKey="{1DE44616-13B4-43CE-93C4-58106DE32D5A}"/>
  </w:font>
  <w:font w:name="Helvetica Neue">
    <w:altName w:val="Arial"/>
    <w:charset w:val="00"/>
    <w:family w:val="auto"/>
    <w:pitch w:val="default"/>
    <w:embedItalic r:id="rId7" w:fontKey="{DA727294-4496-4FFB-8B36-0B17FE27F74F}"/>
  </w:font>
  <w:font w:name="Calibri Light">
    <w:panose1 w:val="020F0302020204030204"/>
    <w:charset w:val="00"/>
    <w:family w:val="swiss"/>
    <w:pitch w:val="variable"/>
    <w:sig w:usb0="E4002EFF" w:usb1="C200247B" w:usb2="00000009" w:usb3="00000000" w:csb0="000001FF" w:csb1="00000000"/>
    <w:embedRegular r:id="rId8" w:fontKey="{55E137B9-2309-4A3B-A08B-81B2F0009D71}"/>
  </w:font>
  <w:font w:name="Calibri">
    <w:panose1 w:val="020F0502020204030204"/>
    <w:charset w:val="00"/>
    <w:family w:val="swiss"/>
    <w:pitch w:val="variable"/>
    <w:sig w:usb0="E4002EFF" w:usb1="C200247B" w:usb2="00000009" w:usb3="00000000" w:csb0="000001FF" w:csb1="00000000"/>
    <w:embedRegular r:id="rId9" w:fontKey="{78246BDB-30C5-4D5A-BCDC-833D4861B6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46FC2" w14:textId="77777777" w:rsidR="005142DB" w:rsidRDefault="009F315A">
    <w:pPr>
      <w:pBdr>
        <w:top w:val="nil"/>
        <w:left w:val="nil"/>
        <w:bottom w:val="nil"/>
        <w:right w:val="nil"/>
        <w:between w:val="nil"/>
      </w:pBdr>
      <w:tabs>
        <w:tab w:val="center" w:pos="4419"/>
        <w:tab w:val="right" w:pos="8838"/>
      </w:tabs>
      <w:jc w:val="right"/>
      <w:rPr>
        <w:color w:val="000000"/>
      </w:rPr>
    </w:pPr>
    <w:r>
      <w:rPr>
        <w:color w:val="000000"/>
      </w:rPr>
      <w:t xml:space="preserve">Página | </w:t>
    </w:r>
    <w:r>
      <w:rPr>
        <w:color w:val="000000"/>
      </w:rPr>
      <w:fldChar w:fldCharType="begin"/>
    </w:r>
    <w:r>
      <w:rPr>
        <w:color w:val="000000"/>
      </w:rPr>
      <w:instrText>PAGE</w:instrText>
    </w:r>
    <w:r>
      <w:rPr>
        <w:color w:val="000000"/>
      </w:rPr>
      <w:fldChar w:fldCharType="separate"/>
    </w:r>
    <w:r w:rsidR="003E4D4D">
      <w:rPr>
        <w:noProof/>
        <w:color w:val="000000"/>
      </w:rPr>
      <w:t>1</w:t>
    </w:r>
    <w:r>
      <w:rPr>
        <w:color w:val="000000"/>
      </w:rPr>
      <w:fldChar w:fldCharType="end"/>
    </w:r>
    <w:r>
      <w:rPr>
        <w:color w:val="000000"/>
      </w:rPr>
      <w:t xml:space="preserve"> </w:t>
    </w:r>
    <w:r>
      <w:rPr>
        <w:noProof/>
      </w:rPr>
      <mc:AlternateContent>
        <mc:Choice Requires="wpg">
          <w:drawing>
            <wp:anchor distT="0" distB="0" distL="114300" distR="114300" simplePos="0" relativeHeight="251658240" behindDoc="0" locked="0" layoutInCell="1" hidden="0" allowOverlap="1" wp14:anchorId="52D74097" wp14:editId="26D5C290">
              <wp:simplePos x="0" y="0"/>
              <wp:positionH relativeFrom="column">
                <wp:posOffset>-103821</wp:posOffset>
              </wp:positionH>
              <wp:positionV relativeFrom="paragraph">
                <wp:posOffset>-253046</wp:posOffset>
              </wp:positionV>
              <wp:extent cx="6038850" cy="1239520"/>
              <wp:effectExtent l="0" t="0" r="0" b="0"/>
              <wp:wrapNone/>
              <wp:docPr id="1223101587" name="Rectángulo 1223101587"/>
              <wp:cNvGraphicFramePr/>
              <a:graphic xmlns:a="http://schemas.openxmlformats.org/drawingml/2006/main">
                <a:graphicData uri="http://schemas.microsoft.com/office/word/2010/wordprocessingShape">
                  <wps:wsp>
                    <wps:cNvSpPr/>
                    <wps:spPr>
                      <a:xfrm>
                        <a:off x="2331338" y="3165003"/>
                        <a:ext cx="6029325" cy="1229995"/>
                      </a:xfrm>
                      <a:prstGeom prst="rect">
                        <a:avLst/>
                      </a:prstGeom>
                      <a:noFill/>
                      <a:ln>
                        <a:noFill/>
                      </a:ln>
                    </wps:spPr>
                    <wps:txbx>
                      <w:txbxContent>
                        <w:p w14:paraId="2537D685" w14:textId="77777777" w:rsidR="005142DB" w:rsidRDefault="009F315A">
                          <w:pPr>
                            <w:spacing w:line="275" w:lineRule="auto"/>
                            <w:jc w:val="both"/>
                            <w:textDirection w:val="btLr"/>
                          </w:pPr>
                          <w:r>
                            <w:rPr>
                              <w:rFonts w:ascii="Helvetica Neue" w:eastAsia="Helvetica Neue" w:hAnsi="Helvetica Neue" w:cs="Helvetica Neue"/>
                              <w:color w:val="000000"/>
                              <w:sz w:val="20"/>
                            </w:rPr>
                            <w:t>________________________________________________________________________</w:t>
                          </w:r>
                        </w:p>
                        <w:p w14:paraId="6A2D6D80" w14:textId="77777777" w:rsidR="005142DB" w:rsidRDefault="009F315A">
                          <w:pPr>
                            <w:spacing w:line="275" w:lineRule="auto"/>
                            <w:jc w:val="both"/>
                            <w:textDirection w:val="btLr"/>
                          </w:pPr>
                          <w:r>
                            <w:rPr>
                              <w:rFonts w:ascii="Verdana" w:eastAsia="Verdana" w:hAnsi="Verdana" w:cs="Verdana"/>
                              <w:b/>
                              <w:color w:val="000000"/>
                              <w:sz w:val="20"/>
                            </w:rPr>
                            <w:t>Superintendencia de la Economía Solidaria</w:t>
                          </w:r>
                        </w:p>
                        <w:p w14:paraId="6BCEC8C0" w14:textId="77777777" w:rsidR="005142DB" w:rsidRDefault="009F315A">
                          <w:pPr>
                            <w:spacing w:line="275" w:lineRule="auto"/>
                            <w:jc w:val="both"/>
                            <w:textDirection w:val="btLr"/>
                          </w:pPr>
                          <w:r>
                            <w:rPr>
                              <w:rFonts w:ascii="Verdana" w:eastAsia="Verdana" w:hAnsi="Verdana" w:cs="Verdana"/>
                              <w:color w:val="000000"/>
                              <w:sz w:val="18"/>
                            </w:rPr>
                            <w:t xml:space="preserve">Avenida Calle 24 (Esperanza) </w:t>
                          </w:r>
                          <w:proofErr w:type="spellStart"/>
                          <w:r>
                            <w:rPr>
                              <w:rFonts w:ascii="Verdana" w:eastAsia="Verdana" w:hAnsi="Verdana" w:cs="Verdana"/>
                              <w:color w:val="000000"/>
                              <w:sz w:val="18"/>
                            </w:rPr>
                            <w:t>N°</w:t>
                          </w:r>
                          <w:proofErr w:type="spellEnd"/>
                          <w:r>
                            <w:rPr>
                              <w:rFonts w:ascii="Verdana" w:eastAsia="Verdana" w:hAnsi="Verdana" w:cs="Verdana"/>
                              <w:color w:val="000000"/>
                              <w:sz w:val="18"/>
                            </w:rPr>
                            <w:t xml:space="preserve"> 60-50 Piso 8 Centro Empresarial Gran Estación</w:t>
                          </w:r>
                        </w:p>
                        <w:p w14:paraId="76F85440" w14:textId="77777777" w:rsidR="005142DB" w:rsidRDefault="009F315A">
                          <w:pPr>
                            <w:spacing w:line="275" w:lineRule="auto"/>
                            <w:jc w:val="both"/>
                            <w:textDirection w:val="btLr"/>
                          </w:pPr>
                          <w:r>
                            <w:rPr>
                              <w:rFonts w:ascii="Verdana" w:eastAsia="Verdana" w:hAnsi="Verdana" w:cs="Verdana"/>
                              <w:color w:val="000000"/>
                              <w:sz w:val="18"/>
                            </w:rPr>
                            <w:t>PBX: (+</w:t>
                          </w:r>
                          <w:proofErr w:type="gramStart"/>
                          <w:r>
                            <w:rPr>
                              <w:rFonts w:ascii="Verdana" w:eastAsia="Verdana" w:hAnsi="Verdana" w:cs="Verdana"/>
                              <w:color w:val="000000"/>
                              <w:sz w:val="18"/>
                            </w:rPr>
                            <w:t>57)(</w:t>
                          </w:r>
                          <w:proofErr w:type="gramEnd"/>
                          <w:r>
                            <w:rPr>
                              <w:rFonts w:ascii="Verdana" w:eastAsia="Verdana" w:hAnsi="Verdana" w:cs="Verdana"/>
                              <w:color w:val="000000"/>
                              <w:sz w:val="18"/>
                            </w:rPr>
                            <w:t>601)7 560 557</w:t>
                          </w:r>
                        </w:p>
                        <w:p w14:paraId="2FC507AC" w14:textId="77777777" w:rsidR="005142DB" w:rsidRDefault="009F315A">
                          <w:pPr>
                            <w:spacing w:line="275" w:lineRule="auto"/>
                            <w:jc w:val="both"/>
                            <w:textDirection w:val="btLr"/>
                          </w:pPr>
                          <w:r>
                            <w:rPr>
                              <w:rFonts w:ascii="Verdana" w:eastAsia="Verdana" w:hAnsi="Verdana" w:cs="Verdana"/>
                              <w:color w:val="000000"/>
                              <w:sz w:val="18"/>
                            </w:rPr>
                            <w:t>Línea Gratis: 018000-180-430</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-103821</wp:posOffset>
              </wp:positionH>
              <wp:positionV relativeFrom="paragraph">
                <wp:posOffset>-253046</wp:posOffset>
              </wp:positionV>
              <wp:extent cx="6038850" cy="1239520"/>
              <wp:effectExtent b="0" l="0" r="0" t="0"/>
              <wp:wrapNone/>
              <wp:docPr id="122310158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38850" cy="1239520"/>
                      </a:xfrm>
                      <a:prstGeom prst="rect"/>
                      <a:ln/>
                    </pic:spPr>
                  </pic:pic>
                </a:graphicData>
              </a:graphic>
            </wp:anchor>
          </w:drawing>
        </mc:Fallback>
      </mc:AlternateContent>
    </w:r>
  </w:p>
  <w:p w14:paraId="51C055B8" w14:textId="77777777" w:rsidR="005142DB" w:rsidRDefault="009F315A">
    <w:pPr>
      <w:spacing w:line="276" w:lineRule="auto"/>
      <w:jc w:val="both"/>
      <w:rPr>
        <w:rFonts w:ascii="Helvetica Neue" w:eastAsia="Helvetica Neue" w:hAnsi="Helvetica Neue" w:cs="Helvetica Neue"/>
      </w:rPr>
    </w:pPr>
    <w:r>
      <w:rPr>
        <w:noProof/>
      </w:rPr>
      <w:drawing>
        <wp:anchor distT="0" distB="0" distL="114300" distR="114300" simplePos="0" relativeHeight="251659264" behindDoc="0" locked="0" layoutInCell="1" hidden="0" allowOverlap="1" wp14:anchorId="7195E2C1" wp14:editId="1E28FB27">
          <wp:simplePos x="0" y="0"/>
          <wp:positionH relativeFrom="column">
            <wp:posOffset>-1076324</wp:posOffset>
          </wp:positionH>
          <wp:positionV relativeFrom="paragraph">
            <wp:posOffset>57150</wp:posOffset>
          </wp:positionV>
          <wp:extent cx="7756896" cy="10038335"/>
          <wp:effectExtent l="0" t="0" r="0" b="0"/>
          <wp:wrapNone/>
          <wp:docPr id="12231015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756896" cy="1003833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50CD0" w14:textId="77777777" w:rsidR="00A54699" w:rsidRDefault="00A54699">
      <w:r>
        <w:separator/>
      </w:r>
    </w:p>
  </w:footnote>
  <w:footnote w:type="continuationSeparator" w:id="0">
    <w:p w14:paraId="60816219" w14:textId="77777777" w:rsidR="00A54699" w:rsidRDefault="00A5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8391" w14:textId="77777777" w:rsidR="005142DB" w:rsidRDefault="005142DB">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4313E"/>
    <w:multiLevelType w:val="multilevel"/>
    <w:tmpl w:val="B3AA2E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BAB4A39"/>
    <w:multiLevelType w:val="multilevel"/>
    <w:tmpl w:val="8624B0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2DB"/>
    <w:rsid w:val="003E4D4D"/>
    <w:rsid w:val="00452697"/>
    <w:rsid w:val="005142DB"/>
    <w:rsid w:val="005217E8"/>
    <w:rsid w:val="008A40A4"/>
    <w:rsid w:val="009F315A"/>
    <w:rsid w:val="00A355D8"/>
    <w:rsid w:val="00A54699"/>
    <w:rsid w:val="00A55E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99B31"/>
  <w15:docId w15:val="{A3797553-D7B5-482D-A118-EAF68464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i/>
        <w:iCs/>
        <w:sz w:val="24"/>
        <w:szCs w:val="24"/>
        <w:lang w:val="es-MX"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outlineLvl w:val="0"/>
    </w:pPr>
    <w:rPr>
      <w:b/>
      <w:bCs/>
      <w:i w:val="0"/>
      <w:iCs w:val="0"/>
    </w:rPr>
  </w:style>
  <w:style w:type="paragraph" w:styleId="Ttulo2">
    <w:name w:val="heading 2"/>
    <w:basedOn w:val="Normal"/>
    <w:next w:val="Normal"/>
    <w:uiPriority w:val="9"/>
    <w:semiHidden/>
    <w:unhideWhenUsed/>
    <w:qFormat/>
    <w:pPr>
      <w:keepNext/>
      <w:jc w:val="both"/>
      <w:outlineLvl w:val="1"/>
    </w:pPr>
    <w:rPr>
      <w:b/>
      <w:bCs/>
      <w:i w:val="0"/>
      <w:iCs w:val="0"/>
    </w:rPr>
  </w:style>
  <w:style w:type="paragraph" w:styleId="Ttulo3">
    <w:name w:val="heading 3"/>
    <w:basedOn w:val="Normal"/>
    <w:next w:val="Normal"/>
    <w:uiPriority w:val="9"/>
    <w:semiHidden/>
    <w:unhideWhenUsed/>
    <w:qFormat/>
    <w:pPr>
      <w:keepNext/>
      <w:outlineLvl w:val="2"/>
    </w:pPr>
    <w:rPr>
      <w:b/>
      <w:bCs/>
      <w:i w:val="0"/>
      <w:iCs w:val="0"/>
      <w:sz w:val="22"/>
      <w:szCs w:val="22"/>
    </w:rPr>
  </w:style>
  <w:style w:type="paragraph" w:styleId="Ttulo4">
    <w:name w:val="heading 4"/>
    <w:basedOn w:val="Normal"/>
    <w:next w:val="Normal"/>
    <w:uiPriority w:val="9"/>
    <w:semiHidden/>
    <w:unhideWhenUsed/>
    <w:qFormat/>
    <w:pPr>
      <w:keepNext/>
      <w:jc w:val="both"/>
      <w:outlineLvl w:val="3"/>
    </w:pPr>
    <w:rPr>
      <w:rFonts w:ascii="Tahoma" w:eastAsia="Tahoma" w:hAnsi="Tahoma" w:cs="Tahoma"/>
      <w:b/>
      <w:bCs/>
      <w:i w:val="0"/>
      <w:iCs w:val="0"/>
    </w:rPr>
  </w:style>
  <w:style w:type="paragraph" w:styleId="Ttulo5">
    <w:name w:val="heading 5"/>
    <w:basedOn w:val="Normal"/>
    <w:next w:val="Normal"/>
    <w:uiPriority w:val="9"/>
    <w:semiHidden/>
    <w:unhideWhenUsed/>
    <w:qFormat/>
    <w:pPr>
      <w:keepNext/>
      <w:jc w:val="both"/>
      <w:outlineLvl w:val="4"/>
    </w:pPr>
  </w:style>
  <w:style w:type="paragraph" w:styleId="Ttulo6">
    <w:name w:val="heading 6"/>
    <w:basedOn w:val="Normal"/>
    <w:next w:val="Normal"/>
    <w:uiPriority w:val="9"/>
    <w:semiHidden/>
    <w:unhideWhenUsed/>
    <w:qFormat/>
    <w:pPr>
      <w:keepNext/>
      <w:jc w:val="center"/>
      <w:outlineLvl w:val="5"/>
    </w:pPr>
    <w:rPr>
      <w:b/>
      <w:bCs/>
      <w:i w:val="0"/>
      <w:iCs w:val="0"/>
    </w:rPr>
  </w:style>
  <w:style w:type="paragraph" w:styleId="Ttulo7">
    <w:name w:val="heading 7"/>
    <w:basedOn w:val="Normal"/>
    <w:next w:val="Normal"/>
    <w:link w:val="Ttulo7Car"/>
    <w:uiPriority w:val="99"/>
    <w:qFormat/>
    <w:rsid w:val="00256730"/>
    <w:pPr>
      <w:keepNext/>
      <w:numPr>
        <w:ilvl w:val="6"/>
        <w:numId w:val="2"/>
      </w:numPr>
      <w:outlineLvl w:val="6"/>
    </w:pPr>
    <w:rPr>
      <w:b/>
      <w:bCs/>
      <w:i w:val="0"/>
      <w:sz w:val="16"/>
    </w:rPr>
  </w:style>
  <w:style w:type="paragraph" w:styleId="Ttulo8">
    <w:name w:val="heading 8"/>
    <w:basedOn w:val="Normal"/>
    <w:next w:val="Normal"/>
    <w:link w:val="Ttulo8Car"/>
    <w:uiPriority w:val="99"/>
    <w:qFormat/>
    <w:rsid w:val="00256730"/>
    <w:pPr>
      <w:keepNext/>
      <w:numPr>
        <w:ilvl w:val="7"/>
        <w:numId w:val="2"/>
      </w:numPr>
      <w:jc w:val="both"/>
      <w:outlineLvl w:val="7"/>
    </w:pPr>
    <w:rPr>
      <w:b/>
      <w:bCs/>
      <w:i w:val="0"/>
      <w:sz w:val="22"/>
    </w:rPr>
  </w:style>
  <w:style w:type="paragraph" w:styleId="Ttulo9">
    <w:name w:val="heading 9"/>
    <w:basedOn w:val="Normal"/>
    <w:next w:val="Normal"/>
    <w:link w:val="Ttulo9Car"/>
    <w:uiPriority w:val="99"/>
    <w:qFormat/>
    <w:rsid w:val="00256730"/>
    <w:pPr>
      <w:keepNext/>
      <w:numPr>
        <w:ilvl w:val="8"/>
        <w:numId w:val="2"/>
      </w:numPr>
      <w:outlineLvl w:val="8"/>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757B36"/>
    <w:pPr>
      <w:tabs>
        <w:tab w:val="center" w:pos="4419"/>
        <w:tab w:val="right" w:pos="8838"/>
      </w:tabs>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ind w:left="720"/>
      <w:contextualSpacing/>
    </w:pPr>
  </w:style>
  <w:style w:type="character" w:customStyle="1" w:styleId="Ttulo1Car">
    <w:name w:val="Título 1 Car"/>
    <w:basedOn w:val="Fuentedeprrafopredeter"/>
    <w:uiPriority w:val="99"/>
    <w:rsid w:val="00256730"/>
    <w:rPr>
      <w:rFonts w:ascii="Arial" w:eastAsia="Times New Roman" w:hAnsi="Arial" w:cs="Arial"/>
      <w:b/>
      <w:bCs/>
      <w:iCs/>
      <w:kern w:val="0"/>
      <w:sz w:val="24"/>
      <w:szCs w:val="24"/>
      <w:lang w:eastAsia="ar-SA"/>
    </w:rPr>
  </w:style>
  <w:style w:type="character" w:customStyle="1" w:styleId="Ttulo2Car">
    <w:name w:val="Título 2 Car"/>
    <w:basedOn w:val="Fuentedeprrafopredeter"/>
    <w:uiPriority w:val="99"/>
    <w:rsid w:val="00256730"/>
    <w:rPr>
      <w:rFonts w:ascii="Arial" w:eastAsia="Times New Roman" w:hAnsi="Arial" w:cs="Arial"/>
      <w:b/>
      <w:bCs/>
      <w:iCs/>
      <w:kern w:val="0"/>
      <w:sz w:val="24"/>
      <w:szCs w:val="24"/>
      <w:lang w:eastAsia="ar-SA"/>
    </w:rPr>
  </w:style>
  <w:style w:type="character" w:customStyle="1" w:styleId="Ttulo3Car">
    <w:name w:val="Título 3 Car"/>
    <w:basedOn w:val="Fuentedeprrafopredeter"/>
    <w:uiPriority w:val="99"/>
    <w:rsid w:val="00256730"/>
    <w:rPr>
      <w:rFonts w:ascii="Arial" w:eastAsia="Times New Roman" w:hAnsi="Arial" w:cs="Arial"/>
      <w:b/>
      <w:bCs/>
      <w:iCs/>
      <w:kern w:val="0"/>
      <w:szCs w:val="24"/>
      <w:lang w:eastAsia="ar-SA"/>
    </w:rPr>
  </w:style>
  <w:style w:type="character" w:customStyle="1" w:styleId="Ttulo4Car">
    <w:name w:val="Título 4 Car"/>
    <w:basedOn w:val="Fuentedeprrafopredeter"/>
    <w:uiPriority w:val="99"/>
    <w:rsid w:val="00256730"/>
    <w:rPr>
      <w:rFonts w:ascii="Tahoma" w:eastAsia="Times New Roman" w:hAnsi="Tahoma" w:cs="Tahoma"/>
      <w:b/>
      <w:bCs/>
      <w:kern w:val="0"/>
      <w:sz w:val="24"/>
      <w:szCs w:val="24"/>
      <w:lang w:eastAsia="ar-SA"/>
    </w:rPr>
  </w:style>
  <w:style w:type="character" w:customStyle="1" w:styleId="Ttulo5Car">
    <w:name w:val="Título 5 Car"/>
    <w:basedOn w:val="Fuentedeprrafopredeter"/>
    <w:uiPriority w:val="99"/>
    <w:rsid w:val="00256730"/>
    <w:rPr>
      <w:rFonts w:ascii="Arial" w:eastAsia="Times New Roman" w:hAnsi="Arial" w:cs="Arial"/>
      <w:i/>
      <w:kern w:val="0"/>
      <w:sz w:val="24"/>
      <w:szCs w:val="24"/>
      <w:lang w:eastAsia="ar-SA"/>
    </w:rPr>
  </w:style>
  <w:style w:type="character" w:customStyle="1" w:styleId="Ttulo6Car">
    <w:name w:val="Título 6 Car"/>
    <w:basedOn w:val="Fuentedeprrafopredeter"/>
    <w:uiPriority w:val="99"/>
    <w:rsid w:val="00256730"/>
    <w:rPr>
      <w:rFonts w:ascii="Arial" w:eastAsia="Times New Roman" w:hAnsi="Arial" w:cs="Arial"/>
      <w:b/>
      <w:bCs/>
      <w:kern w:val="0"/>
      <w:sz w:val="24"/>
      <w:szCs w:val="24"/>
      <w:lang w:eastAsia="ar-SA"/>
    </w:rPr>
  </w:style>
  <w:style w:type="character" w:customStyle="1" w:styleId="Ttulo7Car">
    <w:name w:val="Título 7 Car"/>
    <w:basedOn w:val="Fuentedeprrafopredeter"/>
    <w:link w:val="Ttulo7"/>
    <w:uiPriority w:val="99"/>
    <w:rsid w:val="00256730"/>
    <w:rPr>
      <w:rFonts w:ascii="Arial" w:eastAsia="Times New Roman" w:hAnsi="Arial" w:cs="Arial"/>
      <w:b/>
      <w:bCs/>
      <w:iCs/>
      <w:kern w:val="0"/>
      <w:sz w:val="16"/>
      <w:szCs w:val="24"/>
      <w:lang w:eastAsia="ar-SA"/>
    </w:rPr>
  </w:style>
  <w:style w:type="character" w:customStyle="1" w:styleId="Ttulo8Car">
    <w:name w:val="Título 8 Car"/>
    <w:basedOn w:val="Fuentedeprrafopredeter"/>
    <w:link w:val="Ttulo8"/>
    <w:uiPriority w:val="99"/>
    <w:rsid w:val="00256730"/>
    <w:rPr>
      <w:rFonts w:ascii="Arial" w:eastAsia="Times New Roman" w:hAnsi="Arial" w:cs="Arial"/>
      <w:b/>
      <w:bCs/>
      <w:iCs/>
      <w:kern w:val="0"/>
      <w:szCs w:val="24"/>
      <w:lang w:eastAsia="ar-SA"/>
    </w:rPr>
  </w:style>
  <w:style w:type="character" w:customStyle="1" w:styleId="Ttulo9Car">
    <w:name w:val="Título 9 Car"/>
    <w:basedOn w:val="Fuentedeprrafopredeter"/>
    <w:link w:val="Ttulo9"/>
    <w:uiPriority w:val="99"/>
    <w:rsid w:val="00256730"/>
    <w:rPr>
      <w:rFonts w:ascii="Arial" w:eastAsia="Times New Roman" w:hAnsi="Arial" w:cs="Arial"/>
      <w:b/>
      <w:bCs/>
      <w:i/>
      <w:kern w:val="0"/>
      <w:szCs w:val="24"/>
      <w:lang w:eastAsia="ar-SA"/>
    </w:rPr>
  </w:style>
  <w:style w:type="character" w:styleId="Nmerodepgina">
    <w:name w:val="page number"/>
    <w:basedOn w:val="Fuentedeprrafopredeter"/>
    <w:uiPriority w:val="99"/>
    <w:rsid w:val="00256730"/>
    <w:rPr>
      <w:rFonts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Mencinsinresolver">
    <w:name w:val="Unresolved Mention"/>
    <w:basedOn w:val="Fuentedeprrafopredeter"/>
    <w:uiPriority w:val="99"/>
    <w:semiHidden/>
    <w:unhideWhenUsed/>
    <w:rsid w:val="003E4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da@supersolidaria.gov.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O/q7KjUoX3iM4CN/o4SpBbduVw==">CgMxLjAyDmguOGNxaDNrZjBpajk2OAByITFPcTB5Y2Q2QWFhT0FlN291VVVqOVhuM1hNVDZVZUZmVQ==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2219</Words>
  <Characters>12207</Characters>
  <Application>Microsoft Office Word</Application>
  <DocSecurity>0</DocSecurity>
  <Lines>101</Lines>
  <Paragraphs>28</Paragraphs>
  <ScaleCrop>false</ScaleCrop>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Camilo  Baracaldo Godoy</dc:creator>
  <cp:lastModifiedBy>Andrea Camila Acosta Hernandez</cp:lastModifiedBy>
  <cp:revision>2</cp:revision>
  <dcterms:created xsi:type="dcterms:W3CDTF">2026-08-19T14:19:00Z</dcterms:created>
  <dcterms:modified xsi:type="dcterms:W3CDTF">2026-08-19T14:19:00Z</dcterms:modified>
</cp:coreProperties>
</file>