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821432" w14:textId="1047BAA4" w:rsidR="00400429" w:rsidRPr="008100C1" w:rsidRDefault="00400429" w:rsidP="00400429">
      <w:pPr>
        <w:spacing w:line="254" w:lineRule="auto"/>
        <w:jc w:val="both"/>
        <w:rPr>
          <w:rFonts w:ascii="Verdana" w:hAnsi="Verdana"/>
          <w:i w:val="0"/>
          <w:color w:val="222222"/>
          <w:sz w:val="22"/>
          <w:szCs w:val="22"/>
        </w:rPr>
      </w:pPr>
      <w:r w:rsidRPr="008100C1">
        <w:rPr>
          <w:rFonts w:ascii="Verdana" w:hAnsi="Verdana"/>
          <w:i w:val="0"/>
          <w:color w:val="222222"/>
          <w:sz w:val="22"/>
          <w:szCs w:val="22"/>
        </w:rPr>
        <w:t>Con base en las facultades consagradas en el numeral 22 del artículo 36 de la Ley 454 de 1998, la Superintendencia de la Economía Solidaria pone a disposición de las empresas solidarias supervisadas, en adelante ESS, la</w:t>
      </w:r>
      <w:r w:rsidRPr="008100C1">
        <w:rPr>
          <w:rFonts w:ascii="Verdana" w:hAnsi="Verdana"/>
          <w:b/>
          <w:i w:val="0"/>
          <w:color w:val="222222"/>
          <w:sz w:val="22"/>
          <w:szCs w:val="22"/>
        </w:rPr>
        <w:t xml:space="preserve"> GUÍA</w:t>
      </w:r>
      <w:r w:rsidRPr="008100C1">
        <w:rPr>
          <w:rFonts w:ascii="Verdana" w:hAnsi="Verdana"/>
          <w:i w:val="0"/>
          <w:color w:val="222222"/>
          <w:sz w:val="22"/>
          <w:szCs w:val="22"/>
        </w:rPr>
        <w:t xml:space="preserve"> </w:t>
      </w:r>
      <w:r w:rsidRPr="008100C1">
        <w:rPr>
          <w:rFonts w:ascii="Verdana" w:hAnsi="Verdana"/>
          <w:b/>
          <w:i w:val="0"/>
          <w:color w:val="222222"/>
          <w:sz w:val="22"/>
          <w:szCs w:val="22"/>
        </w:rPr>
        <w:t xml:space="preserve">PARA LA IMPLEMENTACIÓN DE MEJORES PRÁCTICAS DE BUEN GOBIERNO PARA EMPRESAS SOLIDARIAS VIGILADAS POR LA SUPERINTENDENCIA DE ECONOMÍA SOLIDARIA, </w:t>
      </w:r>
      <w:r w:rsidRPr="008100C1">
        <w:rPr>
          <w:rFonts w:ascii="Verdana" w:hAnsi="Verdana"/>
          <w:i w:val="0"/>
          <w:color w:val="222222"/>
          <w:sz w:val="22"/>
          <w:szCs w:val="22"/>
        </w:rPr>
        <w:t xml:space="preserve">con el propósito de promover la incorporación de buenas prácticas en las relaciones entre los asociados, el consejo de administración, junta directiva o quien haga sus veces, la gerencia y/o el representante legal, y otras partes interesadas, buscando la protección, promoción y confianza en estas empresas y en el sector solidario. </w:t>
      </w:r>
    </w:p>
    <w:p w14:paraId="784DC506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color w:val="222222"/>
          <w:sz w:val="22"/>
          <w:szCs w:val="22"/>
        </w:rPr>
      </w:pPr>
    </w:p>
    <w:p w14:paraId="5A8C6D57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color w:val="222222"/>
          <w:sz w:val="22"/>
          <w:szCs w:val="22"/>
        </w:rPr>
      </w:pPr>
      <w:r w:rsidRPr="00657082">
        <w:rPr>
          <w:rFonts w:ascii="Verdana" w:hAnsi="Verdana"/>
          <w:i w:val="0"/>
          <w:color w:val="222222"/>
          <w:sz w:val="22"/>
          <w:szCs w:val="22"/>
        </w:rPr>
        <w:t xml:space="preserve">La guía busca identificar y promover elementos de buen gobierno relacionados con los procesos y controles que impacten en el fortalecimiento del sector, y generar un efecto positivo en la aplicación de los fines, principios y características propios de estas ESS entre ellos, la promoción de la participación democrática de todos sus asociados, la gestión equitativa de los beneficios, la igualdad de derechos, </w:t>
      </w:r>
      <w:r w:rsidRPr="00657082">
        <w:rPr>
          <w:rFonts w:ascii="Verdana" w:hAnsi="Verdana"/>
          <w:i w:val="0"/>
          <w:color w:val="222222"/>
          <w:sz w:val="22"/>
          <w:szCs w:val="22"/>
        </w:rPr>
        <w:lastRenderedPageBreak/>
        <w:t xml:space="preserve">obligaciones y decisiones de sus asociados, y la formación e información para todos los asociados de forma permanente y oportuna. </w:t>
      </w:r>
    </w:p>
    <w:p w14:paraId="65871557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bookmarkStart w:id="0" w:name="_heading=h.z3p83zq4j1nf"/>
      <w:bookmarkStart w:id="1" w:name="_heading=h.k3gzdzvghag1"/>
      <w:bookmarkEnd w:id="0"/>
      <w:bookmarkEnd w:id="1"/>
    </w:p>
    <w:p w14:paraId="6965C876" w14:textId="64C2EA90" w:rsidR="00400429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r w:rsidRPr="00657082">
        <w:rPr>
          <w:rFonts w:ascii="Verdana" w:hAnsi="Verdana"/>
          <w:i w:val="0"/>
          <w:sz w:val="22"/>
          <w:szCs w:val="22"/>
        </w:rPr>
        <w:t xml:space="preserve">En relación con el ámbito de aplicación de la guía, debemos señalar que la </w:t>
      </w:r>
      <w:r w:rsidRPr="00657082">
        <w:rPr>
          <w:rFonts w:ascii="Verdana" w:hAnsi="Verdana"/>
          <w:b/>
          <w:bCs/>
          <w:i w:val="0"/>
          <w:sz w:val="22"/>
          <w:szCs w:val="22"/>
        </w:rPr>
        <w:t>obligatoriedad de adopción e implementación</w:t>
      </w:r>
      <w:r w:rsidRPr="00657082">
        <w:rPr>
          <w:rFonts w:ascii="Verdana" w:hAnsi="Verdana"/>
          <w:i w:val="0"/>
          <w:sz w:val="22"/>
          <w:szCs w:val="22"/>
        </w:rPr>
        <w:t xml:space="preserve"> se predica</w:t>
      </w:r>
      <w:r w:rsidR="008100C1">
        <w:rPr>
          <w:rFonts w:ascii="Verdana" w:hAnsi="Verdana"/>
          <w:i w:val="0"/>
          <w:sz w:val="22"/>
          <w:szCs w:val="22"/>
        </w:rPr>
        <w:t>,</w:t>
      </w:r>
      <w:r w:rsidRPr="00657082">
        <w:rPr>
          <w:rFonts w:ascii="Verdana" w:hAnsi="Verdana"/>
          <w:i w:val="0"/>
          <w:sz w:val="22"/>
          <w:szCs w:val="22"/>
        </w:rPr>
        <w:t xml:space="preserve"> en primer término</w:t>
      </w:r>
      <w:r w:rsidR="008100C1">
        <w:rPr>
          <w:rFonts w:ascii="Verdana" w:hAnsi="Verdana"/>
          <w:i w:val="0"/>
          <w:sz w:val="22"/>
          <w:szCs w:val="22"/>
        </w:rPr>
        <w:t>,</w:t>
      </w:r>
      <w:r w:rsidRPr="00657082">
        <w:rPr>
          <w:rFonts w:ascii="Verdana" w:hAnsi="Verdana"/>
          <w:i w:val="0"/>
          <w:sz w:val="22"/>
          <w:szCs w:val="22"/>
        </w:rPr>
        <w:t xml:space="preserve"> a </w:t>
      </w:r>
      <w:r w:rsidRPr="00657082">
        <w:rPr>
          <w:rFonts w:ascii="Verdana" w:hAnsi="Verdana"/>
          <w:i w:val="0"/>
          <w:color w:val="222222"/>
          <w:sz w:val="22"/>
          <w:szCs w:val="22"/>
        </w:rPr>
        <w:t xml:space="preserve">las cooperativas de ahorro y crédito, multiactivas e integrales con sección de ahorro y crédito, los fondos de empleados que </w:t>
      </w:r>
      <w:r w:rsidRPr="00657082">
        <w:rPr>
          <w:rFonts w:ascii="Verdana" w:hAnsi="Verdana"/>
          <w:i w:val="0"/>
          <w:sz w:val="22"/>
          <w:szCs w:val="22"/>
        </w:rPr>
        <w:t xml:space="preserve">pertenecen a las categorías </w:t>
      </w:r>
      <w:r w:rsidRPr="00657082">
        <w:rPr>
          <w:rFonts w:ascii="Verdana" w:hAnsi="Verdana"/>
          <w:i w:val="0"/>
          <w:color w:val="222222"/>
          <w:sz w:val="22"/>
          <w:szCs w:val="22"/>
        </w:rPr>
        <w:t>plena e intermedia</w:t>
      </w:r>
      <w:r w:rsidRPr="00657082">
        <w:rPr>
          <w:rFonts w:ascii="Verdana" w:hAnsi="Verdana"/>
          <w:i w:val="0"/>
          <w:sz w:val="22"/>
          <w:szCs w:val="22"/>
        </w:rPr>
        <w:t>, de acuerdo con lo definido en el Decreto 344 de 2017</w:t>
      </w:r>
      <w:r w:rsidR="00657082">
        <w:rPr>
          <w:rStyle w:val="Refdenotaalpie"/>
          <w:rFonts w:ascii="Verdana" w:hAnsi="Verdana"/>
          <w:i w:val="0"/>
          <w:sz w:val="22"/>
          <w:szCs w:val="22"/>
        </w:rPr>
        <w:footnoteReference w:id="1"/>
      </w:r>
      <w:r w:rsidRPr="00657082">
        <w:rPr>
          <w:rFonts w:ascii="Verdana" w:hAnsi="Verdana"/>
          <w:i w:val="0"/>
          <w:sz w:val="22"/>
          <w:szCs w:val="22"/>
        </w:rPr>
        <w:t xml:space="preserve">. Lo anterior, en consideración a que son las empresas solidarias supervisadas de mayor tamaño y complejidad, de acuerdo con su nivel de activos, concentran más del noventa y cinco por ciento (95%) del ahorro de los asociados del sector, </w:t>
      </w:r>
      <w:r w:rsidR="00657082">
        <w:rPr>
          <w:rFonts w:ascii="Verdana" w:hAnsi="Verdana"/>
          <w:i w:val="0"/>
          <w:sz w:val="22"/>
          <w:szCs w:val="22"/>
        </w:rPr>
        <w:t xml:space="preserve">y a que el </w:t>
      </w:r>
      <w:r w:rsidR="00657082" w:rsidRPr="00657082">
        <w:rPr>
          <w:rFonts w:ascii="Verdana" w:hAnsi="Verdana"/>
          <w:i w:val="0"/>
          <w:sz w:val="22"/>
          <w:szCs w:val="22"/>
        </w:rPr>
        <w:t>Decreto 962 de 2018</w:t>
      </w:r>
      <w:r w:rsidR="00657082">
        <w:rPr>
          <w:rFonts w:ascii="Verdana" w:hAnsi="Verdana"/>
          <w:i w:val="0"/>
          <w:sz w:val="22"/>
          <w:szCs w:val="22"/>
        </w:rPr>
        <w:t xml:space="preserve"> señaló la necesidad de</w:t>
      </w:r>
      <w:r w:rsidRPr="00657082">
        <w:rPr>
          <w:rFonts w:ascii="Verdana" w:hAnsi="Verdana"/>
          <w:i w:val="0"/>
          <w:sz w:val="22"/>
          <w:szCs w:val="22"/>
        </w:rPr>
        <w:t xml:space="preserve"> </w:t>
      </w:r>
      <w:r w:rsidR="00657082">
        <w:rPr>
          <w:rFonts w:ascii="Verdana" w:hAnsi="Verdana"/>
          <w:i w:val="0"/>
          <w:sz w:val="22"/>
          <w:szCs w:val="22"/>
        </w:rPr>
        <w:t xml:space="preserve">propender por el </w:t>
      </w:r>
      <w:r w:rsidRPr="00657082">
        <w:rPr>
          <w:rFonts w:ascii="Verdana" w:hAnsi="Verdana"/>
          <w:i w:val="0"/>
          <w:sz w:val="22"/>
          <w:szCs w:val="22"/>
        </w:rPr>
        <w:t>fortalecimiento del buen gobierno de las vigiladas que desarrollan actividades de ahorro y crédito.</w:t>
      </w:r>
    </w:p>
    <w:p w14:paraId="244D73D7" w14:textId="77777777" w:rsidR="00657082" w:rsidRPr="00657082" w:rsidRDefault="00657082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</w:p>
    <w:p w14:paraId="1DFDFF07" w14:textId="6A4033F1" w:rsidR="00400429" w:rsidRPr="00657082" w:rsidRDefault="00E12B47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bookmarkStart w:id="2" w:name="_heading=h.pgmy2df48b7x"/>
      <w:bookmarkEnd w:id="2"/>
      <w:r>
        <w:rPr>
          <w:rFonts w:ascii="Verdana" w:hAnsi="Verdana"/>
          <w:i w:val="0"/>
          <w:sz w:val="22"/>
          <w:szCs w:val="22"/>
        </w:rPr>
        <w:t>Así mismo, y e</w:t>
      </w:r>
      <w:r w:rsidR="00400429" w:rsidRPr="00657082">
        <w:rPr>
          <w:rFonts w:ascii="Verdana" w:hAnsi="Verdana"/>
          <w:i w:val="0"/>
          <w:sz w:val="22"/>
          <w:szCs w:val="22"/>
        </w:rPr>
        <w:t>n consideración de la protección del ahorro, también se encuentran obligadas a la adopción e implementación de la guía todas las asociaciones mutualistas, por su característica de poder desarrollar el servicio de ahorro y crédito, en cualquier momento.</w:t>
      </w:r>
    </w:p>
    <w:p w14:paraId="342D72E8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bookmarkStart w:id="3" w:name="_heading=h.oio5s5myswb6"/>
      <w:bookmarkEnd w:id="3"/>
    </w:p>
    <w:p w14:paraId="4E9DF892" w14:textId="55DFBE93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bookmarkStart w:id="4" w:name="_heading=h.kfrrm26655au"/>
      <w:bookmarkEnd w:id="4"/>
      <w:r w:rsidRPr="00657082">
        <w:rPr>
          <w:rFonts w:ascii="Verdana" w:hAnsi="Verdana"/>
          <w:i w:val="0"/>
          <w:sz w:val="22"/>
          <w:szCs w:val="22"/>
        </w:rPr>
        <w:t xml:space="preserve">Finalmente, </w:t>
      </w:r>
      <w:r w:rsidR="00E12B47">
        <w:rPr>
          <w:rFonts w:ascii="Verdana" w:hAnsi="Verdana"/>
          <w:i w:val="0"/>
          <w:sz w:val="22"/>
          <w:szCs w:val="22"/>
        </w:rPr>
        <w:t>por</w:t>
      </w:r>
      <w:r w:rsidRPr="00657082">
        <w:rPr>
          <w:rFonts w:ascii="Verdana" w:hAnsi="Verdana"/>
          <w:i w:val="0"/>
          <w:sz w:val="22"/>
          <w:szCs w:val="22"/>
        </w:rPr>
        <w:t xml:space="preserve"> su tamaño y complejidad, se encuentran obligadas a la adopción e implementación de la guía, sin consideración de la actividad que realizan, las demás empresas solidarias sometidas al primer nivel de supervisión por la Superintendencia de la Economía Solidaria</w:t>
      </w:r>
      <w:r w:rsidR="00E12B47">
        <w:rPr>
          <w:rFonts w:ascii="Verdana" w:hAnsi="Verdana"/>
          <w:i w:val="0"/>
          <w:sz w:val="22"/>
          <w:szCs w:val="22"/>
        </w:rPr>
        <w:t>,</w:t>
      </w:r>
      <w:r w:rsidRPr="00657082">
        <w:rPr>
          <w:rFonts w:ascii="Verdana" w:hAnsi="Verdana"/>
          <w:i w:val="0"/>
          <w:sz w:val="22"/>
          <w:szCs w:val="22"/>
        </w:rPr>
        <w:t xml:space="preserve"> en ejercicio de las funciones previstas en el numeral 19 del artículo 36 de la Ley 454 de 1998 en concordancia con el artículo 2.11.1.8. del Decreto 1068 de 2015.</w:t>
      </w:r>
    </w:p>
    <w:p w14:paraId="1D55E9C5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bookmarkStart w:id="5" w:name="_heading=h.os01932l9noi"/>
      <w:bookmarkEnd w:id="5"/>
    </w:p>
    <w:p w14:paraId="03F5FBF1" w14:textId="30127672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bookmarkStart w:id="6" w:name="_heading=h.4ieo0n61c67j"/>
      <w:bookmarkEnd w:id="6"/>
      <w:r w:rsidRPr="00657082">
        <w:rPr>
          <w:rFonts w:ascii="Verdana" w:hAnsi="Verdana"/>
          <w:i w:val="0"/>
          <w:sz w:val="22"/>
          <w:szCs w:val="22"/>
        </w:rPr>
        <w:t xml:space="preserve">La guía que se presenta mediante esta </w:t>
      </w:r>
      <w:r w:rsidR="00E12B47">
        <w:rPr>
          <w:rFonts w:ascii="Verdana" w:hAnsi="Verdana"/>
          <w:i w:val="0"/>
          <w:sz w:val="22"/>
          <w:szCs w:val="22"/>
        </w:rPr>
        <w:t>C</w:t>
      </w:r>
      <w:r w:rsidRPr="00657082">
        <w:rPr>
          <w:rFonts w:ascii="Verdana" w:hAnsi="Verdana"/>
          <w:i w:val="0"/>
          <w:sz w:val="22"/>
          <w:szCs w:val="22"/>
        </w:rPr>
        <w:t xml:space="preserve">ircular </w:t>
      </w:r>
      <w:r w:rsidR="00E12B47">
        <w:rPr>
          <w:rFonts w:ascii="Verdana" w:hAnsi="Verdana"/>
          <w:i w:val="0"/>
          <w:sz w:val="22"/>
          <w:szCs w:val="22"/>
        </w:rPr>
        <w:t>E</w:t>
      </w:r>
      <w:r w:rsidRPr="00657082">
        <w:rPr>
          <w:rFonts w:ascii="Verdana" w:hAnsi="Verdana"/>
          <w:i w:val="0"/>
          <w:sz w:val="22"/>
          <w:szCs w:val="22"/>
        </w:rPr>
        <w:t>xterna, tiene la siguiente estructura</w:t>
      </w:r>
      <w:r w:rsidR="00E12B47">
        <w:rPr>
          <w:rFonts w:ascii="Verdana" w:hAnsi="Verdana"/>
          <w:i w:val="0"/>
          <w:sz w:val="22"/>
          <w:szCs w:val="22"/>
        </w:rPr>
        <w:t>:</w:t>
      </w:r>
      <w:r w:rsidRPr="00657082">
        <w:rPr>
          <w:rFonts w:ascii="Verdana" w:hAnsi="Verdana"/>
          <w:i w:val="0"/>
          <w:sz w:val="22"/>
          <w:szCs w:val="22"/>
        </w:rPr>
        <w:t xml:space="preserve"> Se encuentra integrada por 30 medidas, las cuales agrupan hasta 111 recomendaciones en materia de: (I) Derechos y trato equitativo de los asociados, (II) Asamblea General de Asociados o de Delegados, (III) Órgano permanente de administración, (IV) Alta Gerencia, (V) Órganos de control social (VI) Arquitectura de control y (VII) Transparencia en la revelación de la Información. </w:t>
      </w:r>
    </w:p>
    <w:p w14:paraId="0ECF0A12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</w:p>
    <w:p w14:paraId="37C20CE3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r w:rsidRPr="00657082">
        <w:rPr>
          <w:rFonts w:ascii="Verdana" w:hAnsi="Verdana"/>
          <w:i w:val="0"/>
          <w:sz w:val="22"/>
          <w:szCs w:val="22"/>
        </w:rPr>
        <w:lastRenderedPageBreak/>
        <w:t>Por lo anterior, esta Superintendencia en el ejercicio de las facultades legales conferidas en el numeral 22 del artículo 36 de la Ley 454 de 1998, imparte las siguientes instrucciones:</w:t>
      </w:r>
    </w:p>
    <w:p w14:paraId="24E6E0DC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b/>
          <w:i w:val="0"/>
          <w:color w:val="222222"/>
          <w:sz w:val="22"/>
          <w:szCs w:val="22"/>
          <w:highlight w:val="white"/>
        </w:rPr>
      </w:pPr>
    </w:p>
    <w:p w14:paraId="484D2506" w14:textId="435BC5A3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color w:val="222222"/>
          <w:sz w:val="22"/>
          <w:szCs w:val="22"/>
          <w:highlight w:val="white"/>
        </w:rPr>
      </w:pPr>
      <w:r w:rsidRPr="00657082">
        <w:rPr>
          <w:rFonts w:ascii="Verdana" w:hAnsi="Verdana"/>
          <w:b/>
          <w:i w:val="0"/>
          <w:color w:val="222222"/>
          <w:sz w:val="22"/>
          <w:szCs w:val="22"/>
          <w:highlight w:val="white"/>
        </w:rPr>
        <w:t>PRIMERA:</w:t>
      </w:r>
      <w:r w:rsidRPr="00657082">
        <w:rPr>
          <w:rFonts w:ascii="Verdana" w:hAnsi="Verdana"/>
          <w:i w:val="0"/>
          <w:color w:val="222222"/>
          <w:sz w:val="22"/>
          <w:szCs w:val="22"/>
          <w:highlight w:val="white"/>
        </w:rPr>
        <w:t xml:space="preserve"> </w:t>
      </w:r>
      <w:r w:rsidRPr="00657082">
        <w:rPr>
          <w:rFonts w:ascii="Verdana" w:hAnsi="Verdana"/>
          <w:b/>
          <w:i w:val="0"/>
          <w:color w:val="222222"/>
          <w:sz w:val="22"/>
          <w:szCs w:val="22"/>
          <w:highlight w:val="white"/>
        </w:rPr>
        <w:t xml:space="preserve">Ámbito de aplicación. </w:t>
      </w:r>
      <w:r w:rsidRPr="00657082">
        <w:rPr>
          <w:rFonts w:ascii="Verdana" w:hAnsi="Verdana"/>
          <w:i w:val="0"/>
          <w:color w:val="222222"/>
          <w:sz w:val="22"/>
          <w:szCs w:val="22"/>
        </w:rPr>
        <w:t>La presente guía es aplicable a las cooperativas de ahorro y crédito, multiactivas e integrales con sección de ahorro y crédito, fondos de empleados</w:t>
      </w:r>
      <w:r w:rsidRPr="00657082">
        <w:rPr>
          <w:rFonts w:ascii="Verdana" w:hAnsi="Verdana"/>
          <w:i w:val="0"/>
          <w:sz w:val="22"/>
          <w:szCs w:val="22"/>
        </w:rPr>
        <w:t>, asociaciones mutual</w:t>
      </w:r>
      <w:r w:rsidR="008100C1">
        <w:rPr>
          <w:rFonts w:ascii="Verdana" w:hAnsi="Verdana"/>
          <w:i w:val="0"/>
          <w:sz w:val="22"/>
          <w:szCs w:val="22"/>
        </w:rPr>
        <w:t>istas</w:t>
      </w:r>
      <w:r w:rsidRPr="00657082">
        <w:rPr>
          <w:rFonts w:ascii="Verdana" w:hAnsi="Verdana"/>
          <w:i w:val="0"/>
          <w:sz w:val="22"/>
          <w:szCs w:val="22"/>
        </w:rPr>
        <w:t>, y las demás empresas solidarias supervisadas por la Delegatura para la Supervisión del Ahorro y la Forma Asociativa Solidaria, que se encuentren en el primer nivel de supervisión, de conformidad con lo establecido en el Decreto 2159 de 1999</w:t>
      </w:r>
      <w:r w:rsidRPr="00657082">
        <w:rPr>
          <w:rFonts w:ascii="Verdana" w:hAnsi="Verdana"/>
          <w:i w:val="0"/>
          <w:color w:val="222222"/>
          <w:sz w:val="22"/>
          <w:szCs w:val="22"/>
          <w:highlight w:val="white"/>
        </w:rPr>
        <w:t>.</w:t>
      </w:r>
    </w:p>
    <w:p w14:paraId="52922D7F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color w:val="222222"/>
          <w:sz w:val="22"/>
          <w:szCs w:val="22"/>
          <w:highlight w:val="white"/>
        </w:rPr>
      </w:pPr>
    </w:p>
    <w:p w14:paraId="4CE84491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iCs/>
          <w:sz w:val="22"/>
          <w:szCs w:val="22"/>
        </w:rPr>
      </w:pPr>
      <w:r w:rsidRPr="00657082">
        <w:rPr>
          <w:rFonts w:ascii="Verdana" w:hAnsi="Verdana"/>
          <w:b/>
          <w:bCs/>
          <w:i w:val="0"/>
          <w:color w:val="222222"/>
          <w:sz w:val="22"/>
          <w:szCs w:val="22"/>
          <w:highlight w:val="white"/>
        </w:rPr>
        <w:t xml:space="preserve">SEGUNDA: Cronograma de implementación. </w:t>
      </w:r>
      <w:r w:rsidRPr="00657082">
        <w:rPr>
          <w:rFonts w:ascii="Verdana" w:hAnsi="Verdana"/>
          <w:i w:val="0"/>
          <w:iCs/>
          <w:sz w:val="22"/>
          <w:szCs w:val="22"/>
        </w:rPr>
        <w:t>La implementación de la guía se llevará a cabo de manera progresiva, por tipo de empresa solidaria, teniendo en cuenta su categoría o nivel de supervisión, de acuerdo con el siguiente cronograma:</w:t>
      </w:r>
    </w:p>
    <w:p w14:paraId="31705F2B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iCs/>
          <w:sz w:val="22"/>
          <w:szCs w:val="22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61"/>
        <w:gridCol w:w="2946"/>
        <w:gridCol w:w="2916"/>
      </w:tblGrid>
      <w:tr w:rsidR="00400429" w:rsidRPr="00174789" w14:paraId="44ADFE94" w14:textId="77777777" w:rsidTr="00325493">
        <w:trPr>
          <w:tblHeader/>
          <w:tblCellSpacing w:w="15" w:type="dxa"/>
        </w:trPr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FCC70" w14:textId="77777777" w:rsidR="00400429" w:rsidRPr="00174789" w:rsidRDefault="00400429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b/>
                <w:bCs/>
                <w:i w:val="0"/>
                <w:sz w:val="22"/>
                <w:szCs w:val="22"/>
                <w:lang w:eastAsia="es-CO"/>
              </w:rPr>
              <w:t>Tipo de Entidad Vigilada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2BA07" w14:textId="77777777" w:rsidR="00400429" w:rsidRPr="00174789" w:rsidRDefault="00400429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b/>
                <w:bCs/>
                <w:i w:val="0"/>
                <w:sz w:val="22"/>
                <w:szCs w:val="22"/>
                <w:lang w:eastAsia="es-CO"/>
              </w:rPr>
              <w:t>Categoría o Nivel de Supervisión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79A79" w14:textId="77777777" w:rsidR="00400429" w:rsidRPr="00174789" w:rsidRDefault="00400429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b/>
                <w:bCs/>
                <w:i w:val="0"/>
                <w:sz w:val="22"/>
                <w:szCs w:val="22"/>
                <w:lang w:eastAsia="es-CO"/>
              </w:rPr>
              <w:t>Fecha de Implementación</w:t>
            </w:r>
          </w:p>
        </w:tc>
      </w:tr>
      <w:tr w:rsidR="00400429" w:rsidRPr="00174789" w14:paraId="393CF8E7" w14:textId="77777777" w:rsidTr="00325493">
        <w:trPr>
          <w:tblCellSpacing w:w="15" w:type="dxa"/>
        </w:trPr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C5FCF" w14:textId="77777777" w:rsidR="00400429" w:rsidRPr="00174789" w:rsidRDefault="00400429">
            <w:pPr>
              <w:suppressAutoHyphens w:val="0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Cooperativas de Ahorro y Crédito (CAC´s) y Fondos de Empleados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4858F" w14:textId="77777777" w:rsidR="00400429" w:rsidRPr="00174789" w:rsidRDefault="00400429">
            <w:pPr>
              <w:suppressAutoHyphens w:val="0"/>
              <w:jc w:val="center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Categoría Plena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46E02" w14:textId="34BBBE39" w:rsidR="00400429" w:rsidRPr="00174789" w:rsidRDefault="00325493" w:rsidP="00174789">
            <w:pPr>
              <w:suppressAutoHyphens w:val="0"/>
              <w:jc w:val="center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 xml:space="preserve">A partir del </w:t>
            </w:r>
            <w:r w:rsidR="00400429"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 xml:space="preserve">1 de </w:t>
            </w: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enero</w:t>
            </w:r>
            <w:r w:rsidR="00400429"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 xml:space="preserve"> de 202</w:t>
            </w: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6</w:t>
            </w:r>
          </w:p>
        </w:tc>
      </w:tr>
      <w:tr w:rsidR="00400429" w:rsidRPr="00174789" w14:paraId="79618D85" w14:textId="77777777" w:rsidTr="00325493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575E8" w14:textId="77777777" w:rsidR="00400429" w:rsidRPr="00174789" w:rsidRDefault="00400429">
            <w:pPr>
              <w:suppressAutoHyphens w:val="0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CAC´s y Fondos de Empleados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92F3A" w14:textId="77777777" w:rsidR="00400429" w:rsidRPr="00174789" w:rsidRDefault="00400429">
            <w:pPr>
              <w:suppressAutoHyphens w:val="0"/>
              <w:jc w:val="center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Categoría Intermedia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5BE47" w14:textId="3C4612AA" w:rsidR="00400429" w:rsidRPr="00174789" w:rsidRDefault="00325493" w:rsidP="00174789">
            <w:pPr>
              <w:suppressAutoHyphens w:val="0"/>
              <w:jc w:val="center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 xml:space="preserve">A partir del </w:t>
            </w:r>
            <w:r w:rsidR="00400429"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 xml:space="preserve">1 de </w:t>
            </w:r>
            <w:r w:rsidR="008100C1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julio</w:t>
            </w:r>
            <w:r w:rsidR="00400429"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 xml:space="preserve"> de 2026</w:t>
            </w:r>
          </w:p>
        </w:tc>
      </w:tr>
      <w:tr w:rsidR="00400429" w:rsidRPr="00174789" w14:paraId="31A2D472" w14:textId="77777777" w:rsidTr="00325493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F1E74" w14:textId="77777777" w:rsidR="00400429" w:rsidRPr="00174789" w:rsidRDefault="00400429">
            <w:pPr>
              <w:suppressAutoHyphens w:val="0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CAC´s y Fondos de Empleados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01AC9" w14:textId="77777777" w:rsidR="00400429" w:rsidRPr="00174789" w:rsidRDefault="00400429">
            <w:pPr>
              <w:suppressAutoHyphens w:val="0"/>
              <w:jc w:val="center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Categoría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07846" w14:textId="2CE8C9CC" w:rsidR="00400429" w:rsidRPr="00174789" w:rsidRDefault="00325493" w:rsidP="00174789">
            <w:pPr>
              <w:suppressAutoHyphens w:val="0"/>
              <w:jc w:val="center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A partir del 1 de enero de 2027</w:t>
            </w:r>
          </w:p>
        </w:tc>
      </w:tr>
      <w:tr w:rsidR="00400429" w:rsidRPr="00174789" w14:paraId="72D13AED" w14:textId="77777777" w:rsidTr="00325493">
        <w:trPr>
          <w:tblCellSpacing w:w="15" w:type="dxa"/>
        </w:trPr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CEA09" w14:textId="77777777" w:rsidR="00400429" w:rsidRPr="00174789" w:rsidRDefault="00400429">
            <w:pPr>
              <w:suppressAutoHyphens w:val="0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Demás empresas vigiladas por la Delegatura Asociativa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B4631" w14:textId="77777777" w:rsidR="00400429" w:rsidRPr="00174789" w:rsidRDefault="00400429">
            <w:pPr>
              <w:suppressAutoHyphens w:val="0"/>
              <w:jc w:val="center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Primer Nivel de Supervisión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0A75B" w14:textId="13CA6C7E" w:rsidR="00400429" w:rsidRPr="00174789" w:rsidRDefault="00325493" w:rsidP="00174789">
            <w:pPr>
              <w:suppressAutoHyphens w:val="0"/>
              <w:jc w:val="center"/>
              <w:rPr>
                <w:rFonts w:ascii="Verdana" w:hAnsi="Verdana"/>
                <w:i w:val="0"/>
                <w:sz w:val="22"/>
                <w:szCs w:val="22"/>
                <w:lang w:eastAsia="es-CO"/>
              </w:rPr>
            </w:pP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 xml:space="preserve">A partir del 1 de </w:t>
            </w:r>
            <w:r w:rsidR="008100C1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>julio</w:t>
            </w:r>
            <w:r w:rsidRPr="00174789">
              <w:rPr>
                <w:rFonts w:ascii="Verdana" w:hAnsi="Verdana"/>
                <w:i w:val="0"/>
                <w:sz w:val="22"/>
                <w:szCs w:val="22"/>
                <w:lang w:eastAsia="es-CO"/>
              </w:rPr>
              <w:t xml:space="preserve"> de 2027</w:t>
            </w:r>
          </w:p>
        </w:tc>
      </w:tr>
    </w:tbl>
    <w:p w14:paraId="5FCE9373" w14:textId="395EB756" w:rsidR="00400429" w:rsidRDefault="00400429" w:rsidP="00400429">
      <w:pPr>
        <w:spacing w:line="254" w:lineRule="auto"/>
        <w:jc w:val="both"/>
        <w:rPr>
          <w:rFonts w:ascii="Verdana" w:eastAsia="Arial" w:hAnsi="Verdana"/>
          <w:i w:val="0"/>
          <w:iCs/>
          <w:color w:val="222222"/>
          <w:sz w:val="22"/>
          <w:szCs w:val="22"/>
          <w:highlight w:val="white"/>
        </w:rPr>
      </w:pPr>
    </w:p>
    <w:p w14:paraId="01AC2282" w14:textId="77777777" w:rsidR="00174789" w:rsidRPr="00657082" w:rsidRDefault="00174789" w:rsidP="00400429">
      <w:pPr>
        <w:spacing w:line="254" w:lineRule="auto"/>
        <w:jc w:val="both"/>
        <w:rPr>
          <w:rFonts w:ascii="Verdana" w:eastAsia="Arial" w:hAnsi="Verdana"/>
          <w:i w:val="0"/>
          <w:iCs/>
          <w:color w:val="222222"/>
          <w:sz w:val="22"/>
          <w:szCs w:val="22"/>
          <w:highlight w:val="white"/>
        </w:rPr>
      </w:pPr>
    </w:p>
    <w:p w14:paraId="5A01905B" w14:textId="3D8EF608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r w:rsidRPr="00657082">
        <w:rPr>
          <w:rFonts w:ascii="Verdana" w:hAnsi="Verdana"/>
          <w:b/>
          <w:i w:val="0"/>
          <w:color w:val="222222"/>
          <w:sz w:val="22"/>
          <w:szCs w:val="22"/>
          <w:highlight w:val="white"/>
        </w:rPr>
        <w:t xml:space="preserve">TERCERA: Alcance. </w:t>
      </w:r>
      <w:r w:rsidRPr="00657082">
        <w:rPr>
          <w:rFonts w:ascii="Verdana" w:hAnsi="Verdana"/>
          <w:i w:val="0"/>
          <w:sz w:val="22"/>
          <w:szCs w:val="22"/>
        </w:rPr>
        <w:t xml:space="preserve">La </w:t>
      </w:r>
      <w:r w:rsidR="00174789">
        <w:rPr>
          <w:rFonts w:ascii="Verdana" w:hAnsi="Verdana"/>
          <w:i w:val="0"/>
          <w:sz w:val="22"/>
          <w:szCs w:val="22"/>
        </w:rPr>
        <w:t>presente</w:t>
      </w:r>
      <w:r w:rsidRPr="00657082">
        <w:rPr>
          <w:rFonts w:ascii="Verdana" w:hAnsi="Verdana"/>
          <w:i w:val="0"/>
          <w:sz w:val="22"/>
          <w:szCs w:val="22"/>
        </w:rPr>
        <w:t xml:space="preserve"> guía está estructurada bajo el principio de “cumpla o explique” y, por lo tanto, sus recomendaciones deben ser adoptadas conforme a este principio por las Empresas de la Economía Solidaria (ESS) incluidas en el ámbito de aplicación de esta </w:t>
      </w:r>
      <w:r w:rsidR="00174789">
        <w:rPr>
          <w:rFonts w:ascii="Verdana" w:hAnsi="Verdana"/>
          <w:i w:val="0"/>
          <w:sz w:val="22"/>
          <w:szCs w:val="22"/>
        </w:rPr>
        <w:t>C</w:t>
      </w:r>
      <w:r w:rsidRPr="00657082">
        <w:rPr>
          <w:rFonts w:ascii="Verdana" w:hAnsi="Verdana"/>
          <w:i w:val="0"/>
          <w:sz w:val="22"/>
          <w:szCs w:val="22"/>
        </w:rPr>
        <w:t xml:space="preserve">ircular. </w:t>
      </w:r>
    </w:p>
    <w:p w14:paraId="3906FC02" w14:textId="13C8B5BA" w:rsidR="00400429" w:rsidRDefault="00400429" w:rsidP="00400429">
      <w:pPr>
        <w:spacing w:line="254" w:lineRule="auto"/>
        <w:jc w:val="both"/>
        <w:rPr>
          <w:rFonts w:ascii="Verdana" w:hAnsi="Verdana"/>
          <w:b/>
          <w:bCs/>
          <w:i w:val="0"/>
          <w:sz w:val="22"/>
          <w:szCs w:val="22"/>
        </w:rPr>
      </w:pPr>
    </w:p>
    <w:p w14:paraId="15F0631C" w14:textId="4216E809" w:rsidR="00174789" w:rsidRDefault="00174789" w:rsidP="00400429">
      <w:pPr>
        <w:spacing w:line="254" w:lineRule="auto"/>
        <w:jc w:val="both"/>
        <w:rPr>
          <w:rFonts w:ascii="Verdana" w:hAnsi="Verdana"/>
          <w:b/>
          <w:bCs/>
          <w:i w:val="0"/>
          <w:sz w:val="22"/>
          <w:szCs w:val="22"/>
        </w:rPr>
      </w:pPr>
    </w:p>
    <w:p w14:paraId="03D08A53" w14:textId="77777777" w:rsidR="00174789" w:rsidRPr="00657082" w:rsidRDefault="00174789" w:rsidP="00400429">
      <w:pPr>
        <w:spacing w:line="254" w:lineRule="auto"/>
        <w:jc w:val="both"/>
        <w:rPr>
          <w:rFonts w:ascii="Verdana" w:hAnsi="Verdana"/>
          <w:b/>
          <w:bCs/>
          <w:i w:val="0"/>
          <w:sz w:val="22"/>
          <w:szCs w:val="22"/>
        </w:rPr>
      </w:pPr>
    </w:p>
    <w:p w14:paraId="5BFE9DA9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r w:rsidRPr="00657082">
        <w:rPr>
          <w:rFonts w:ascii="Verdana" w:hAnsi="Verdana"/>
          <w:b/>
          <w:bCs/>
          <w:i w:val="0"/>
          <w:sz w:val="22"/>
          <w:szCs w:val="22"/>
        </w:rPr>
        <w:lastRenderedPageBreak/>
        <w:t>CUARTA: Reporte.</w:t>
      </w:r>
      <w:r w:rsidRPr="00657082">
        <w:rPr>
          <w:rFonts w:ascii="Verdana" w:hAnsi="Verdana"/>
          <w:i w:val="0"/>
          <w:sz w:val="22"/>
          <w:szCs w:val="22"/>
        </w:rPr>
        <w:t xml:space="preserve"> Los destinatarios de este acto administrativo deberán informar a esta Superintendencia el nivel de implementación alcanzado. La Superintendencia de la Economía Solidaria podrá requerir dicho reporte a través de los medios y con la periodicidad que se establezcan para tal efecto.</w:t>
      </w:r>
    </w:p>
    <w:p w14:paraId="51F33A6E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r w:rsidRPr="00657082">
        <w:rPr>
          <w:rFonts w:ascii="Verdana" w:hAnsi="Verdana"/>
          <w:i w:val="0"/>
          <w:sz w:val="22"/>
          <w:szCs w:val="22"/>
        </w:rPr>
        <w:br/>
      </w:r>
      <w:r w:rsidRPr="00657082">
        <w:rPr>
          <w:rFonts w:ascii="Verdana" w:hAnsi="Verdana"/>
          <w:b/>
          <w:i w:val="0"/>
          <w:iCs/>
          <w:sz w:val="22"/>
          <w:szCs w:val="22"/>
        </w:rPr>
        <w:t>QUINTA</w:t>
      </w:r>
      <w:r w:rsidRPr="00657082">
        <w:rPr>
          <w:rFonts w:ascii="Verdana" w:hAnsi="Verdana"/>
          <w:b/>
          <w:i w:val="0"/>
          <w:iCs/>
          <w:color w:val="000000"/>
          <w:sz w:val="22"/>
          <w:szCs w:val="22"/>
        </w:rPr>
        <w:t xml:space="preserve">: </w:t>
      </w:r>
      <w:r w:rsidRPr="00657082">
        <w:rPr>
          <w:rFonts w:ascii="Verdana" w:hAnsi="Verdana"/>
          <w:b/>
          <w:bCs/>
          <w:i w:val="0"/>
          <w:iCs/>
          <w:color w:val="000000"/>
          <w:sz w:val="22"/>
          <w:szCs w:val="22"/>
        </w:rPr>
        <w:t>Adopción en las empresas solidarias no sujetas al ámbito de aplicación.</w:t>
      </w:r>
      <w:r w:rsidRPr="00657082">
        <w:rPr>
          <w:rFonts w:ascii="Verdana" w:hAnsi="Verdana"/>
          <w:i w:val="0"/>
          <w:color w:val="000000"/>
          <w:sz w:val="22"/>
          <w:szCs w:val="22"/>
        </w:rPr>
        <w:t xml:space="preserve"> </w:t>
      </w:r>
      <w:r w:rsidRPr="00657082">
        <w:rPr>
          <w:rFonts w:ascii="Verdana" w:hAnsi="Verdana"/>
          <w:i w:val="0"/>
          <w:sz w:val="22"/>
          <w:szCs w:val="22"/>
        </w:rPr>
        <w:t>La Superintendencia invita a todas las empresas solidarias supervisadas, distintas de aquellas indicadas en la primera instrucción sobre el ámbito de aplicación de la presente Circular, a adoptar la “Guía para la implementación de mejores prácticas de buen gobierno para empresas solidarias vigiladas por la Superintendencia de la Economía Solidaria”.</w:t>
      </w:r>
    </w:p>
    <w:p w14:paraId="7B156639" w14:textId="56DA36C2" w:rsidR="00400429" w:rsidRPr="00657082" w:rsidRDefault="00400429" w:rsidP="00400429">
      <w:pPr>
        <w:suppressAutoHyphens w:val="0"/>
        <w:spacing w:before="100" w:beforeAutospacing="1" w:after="100" w:afterAutospacing="1"/>
        <w:jc w:val="both"/>
        <w:rPr>
          <w:rFonts w:ascii="Verdana" w:hAnsi="Verdana"/>
          <w:i w:val="0"/>
          <w:color w:val="000000"/>
          <w:sz w:val="22"/>
          <w:szCs w:val="22"/>
          <w:highlight w:val="cyan"/>
        </w:rPr>
      </w:pPr>
      <w:r w:rsidRPr="00657082">
        <w:rPr>
          <w:rFonts w:ascii="Verdana" w:hAnsi="Verdana"/>
          <w:i w:val="0"/>
          <w:color w:val="000000"/>
          <w:sz w:val="22"/>
          <w:szCs w:val="22"/>
        </w:rPr>
        <w:t xml:space="preserve">Para tal efecto, </w:t>
      </w:r>
      <w:r w:rsidR="00174789">
        <w:rPr>
          <w:rFonts w:ascii="Verdana" w:hAnsi="Verdana"/>
          <w:i w:val="0"/>
          <w:color w:val="000000"/>
          <w:sz w:val="22"/>
          <w:szCs w:val="22"/>
        </w:rPr>
        <w:t xml:space="preserve">es pertinente </w:t>
      </w:r>
      <w:r w:rsidRPr="00657082">
        <w:rPr>
          <w:rFonts w:ascii="Verdana" w:hAnsi="Verdana"/>
          <w:i w:val="0"/>
          <w:color w:val="000000"/>
          <w:sz w:val="22"/>
          <w:szCs w:val="22"/>
        </w:rPr>
        <w:t>realizar un análisis integral y documentado, teniendo en cuenta la naturaleza, el tamaño y la complejidad de la empresa solidaria con el fin de determinar la aplicabilidad de todas o algunas de las medidas y recomendaciones contenidas en la Guía.</w:t>
      </w:r>
    </w:p>
    <w:p w14:paraId="7EFF97DB" w14:textId="66F74E5F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</w:rPr>
      </w:pPr>
      <w:r w:rsidRPr="00657082">
        <w:rPr>
          <w:rFonts w:ascii="Verdana" w:hAnsi="Verdana"/>
          <w:b/>
          <w:bCs/>
          <w:i w:val="0"/>
          <w:sz w:val="22"/>
          <w:szCs w:val="22"/>
        </w:rPr>
        <w:t>SEXTA</w:t>
      </w:r>
      <w:r w:rsidRPr="00657082">
        <w:rPr>
          <w:rFonts w:ascii="Verdana" w:hAnsi="Verdana"/>
          <w:b/>
          <w:i w:val="0"/>
          <w:sz w:val="22"/>
          <w:szCs w:val="22"/>
        </w:rPr>
        <w:t xml:space="preserve">: Implementación de la Guía. </w:t>
      </w:r>
      <w:r w:rsidRPr="00657082">
        <w:rPr>
          <w:rFonts w:ascii="Verdana" w:hAnsi="Verdana"/>
          <w:i w:val="0"/>
          <w:color w:val="000000"/>
          <w:sz w:val="22"/>
          <w:szCs w:val="22"/>
        </w:rPr>
        <w:t>Cuando una empresa solidaria decida adoptar</w:t>
      </w:r>
      <w:r w:rsidR="00174789" w:rsidRPr="00174789">
        <w:rPr>
          <w:rFonts w:ascii="Verdana" w:hAnsi="Verdana"/>
          <w:i w:val="0"/>
          <w:color w:val="000000"/>
          <w:sz w:val="22"/>
          <w:szCs w:val="22"/>
        </w:rPr>
        <w:t xml:space="preserve"> </w:t>
      </w:r>
      <w:r w:rsidR="00174789" w:rsidRPr="00657082">
        <w:rPr>
          <w:rFonts w:ascii="Verdana" w:hAnsi="Verdana"/>
          <w:i w:val="0"/>
          <w:color w:val="000000"/>
          <w:sz w:val="22"/>
          <w:szCs w:val="22"/>
        </w:rPr>
        <w:t>la aplicación de la Guía</w:t>
      </w:r>
      <w:r w:rsidRPr="00657082">
        <w:rPr>
          <w:rFonts w:ascii="Verdana" w:hAnsi="Verdana"/>
          <w:i w:val="0"/>
          <w:color w:val="000000"/>
          <w:sz w:val="22"/>
          <w:szCs w:val="22"/>
        </w:rPr>
        <w:t>, de acuerdo con lo dispuesto en este acto</w:t>
      </w:r>
      <w:r w:rsidR="00174789">
        <w:rPr>
          <w:rFonts w:ascii="Verdana" w:hAnsi="Verdana"/>
          <w:i w:val="0"/>
          <w:color w:val="000000"/>
          <w:sz w:val="22"/>
          <w:szCs w:val="22"/>
        </w:rPr>
        <w:t>,</w:t>
      </w:r>
      <w:r w:rsidRPr="00657082">
        <w:rPr>
          <w:rFonts w:ascii="Verdana" w:hAnsi="Verdana"/>
          <w:i w:val="0"/>
          <w:color w:val="000000"/>
          <w:sz w:val="22"/>
          <w:szCs w:val="22"/>
        </w:rPr>
        <w:t xml:space="preserve"> o de manera voluntaria, deberá incluir en sus estatutos una cláusula según la cual sus asociados, administradores y empleados se encuentran obligados a cumplir las recomendaciones contenidas en la misma</w:t>
      </w:r>
      <w:r w:rsidRPr="00657082">
        <w:rPr>
          <w:rFonts w:ascii="Verdana" w:hAnsi="Verdana"/>
          <w:i w:val="0"/>
          <w:sz w:val="22"/>
          <w:szCs w:val="22"/>
        </w:rPr>
        <w:t>.</w:t>
      </w:r>
    </w:p>
    <w:p w14:paraId="2E71B634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b/>
          <w:i w:val="0"/>
          <w:color w:val="222222"/>
          <w:sz w:val="22"/>
          <w:szCs w:val="22"/>
          <w:highlight w:val="white"/>
        </w:rPr>
      </w:pPr>
    </w:p>
    <w:p w14:paraId="5B67B64A" w14:textId="2ACE55EF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  <w:highlight w:val="white"/>
        </w:rPr>
      </w:pPr>
      <w:r w:rsidRPr="00657082">
        <w:rPr>
          <w:rFonts w:ascii="Verdana" w:hAnsi="Verdana"/>
          <w:b/>
          <w:i w:val="0"/>
          <w:color w:val="222222"/>
          <w:sz w:val="22"/>
          <w:szCs w:val="22"/>
          <w:highlight w:val="white"/>
        </w:rPr>
        <w:t>SÉPTIMA</w:t>
      </w:r>
      <w:r w:rsidRPr="00657082">
        <w:rPr>
          <w:rFonts w:ascii="Verdana" w:hAnsi="Verdana"/>
          <w:b/>
          <w:i w:val="0"/>
          <w:sz w:val="22"/>
          <w:szCs w:val="22"/>
          <w:highlight w:val="white"/>
        </w:rPr>
        <w:t>:</w:t>
      </w:r>
      <w:r w:rsidRPr="00657082">
        <w:rPr>
          <w:rFonts w:ascii="Verdana" w:hAnsi="Verdana"/>
          <w:i w:val="0"/>
          <w:sz w:val="22"/>
          <w:szCs w:val="22"/>
          <w:highlight w:val="white"/>
        </w:rPr>
        <w:t xml:space="preserve"> </w:t>
      </w:r>
      <w:r w:rsidRPr="00657082">
        <w:rPr>
          <w:rFonts w:ascii="Verdana" w:hAnsi="Verdana"/>
          <w:b/>
          <w:i w:val="0"/>
          <w:sz w:val="22"/>
          <w:szCs w:val="22"/>
          <w:highlight w:val="white"/>
        </w:rPr>
        <w:t xml:space="preserve">Presentación </w:t>
      </w:r>
      <w:r w:rsidR="008100C1">
        <w:rPr>
          <w:rFonts w:ascii="Verdana" w:hAnsi="Verdana"/>
          <w:b/>
          <w:i w:val="0"/>
          <w:sz w:val="22"/>
          <w:szCs w:val="22"/>
          <w:highlight w:val="white"/>
        </w:rPr>
        <w:t>ante la</w:t>
      </w:r>
      <w:r w:rsidRPr="00657082">
        <w:rPr>
          <w:rFonts w:ascii="Verdana" w:hAnsi="Verdana"/>
          <w:b/>
          <w:i w:val="0"/>
          <w:sz w:val="22"/>
          <w:szCs w:val="22"/>
          <w:highlight w:val="white"/>
        </w:rPr>
        <w:t xml:space="preserve"> Asamblea</w:t>
      </w:r>
      <w:r w:rsidR="008100C1">
        <w:rPr>
          <w:rFonts w:ascii="Verdana" w:hAnsi="Verdana"/>
          <w:b/>
          <w:i w:val="0"/>
          <w:sz w:val="22"/>
          <w:szCs w:val="22"/>
          <w:highlight w:val="white"/>
        </w:rPr>
        <w:t xml:space="preserve"> General</w:t>
      </w:r>
      <w:r w:rsidRPr="00657082">
        <w:rPr>
          <w:rFonts w:ascii="Verdana" w:hAnsi="Verdana"/>
          <w:b/>
          <w:i w:val="0"/>
          <w:sz w:val="22"/>
          <w:szCs w:val="22"/>
          <w:highlight w:val="white"/>
        </w:rPr>
        <w:t>.</w:t>
      </w:r>
      <w:r w:rsidRPr="00657082">
        <w:rPr>
          <w:rFonts w:ascii="Verdana" w:hAnsi="Verdana"/>
          <w:i w:val="0"/>
          <w:sz w:val="22"/>
          <w:szCs w:val="22"/>
          <w:highlight w:val="white"/>
        </w:rPr>
        <w:t xml:space="preserve"> </w:t>
      </w:r>
      <w:r w:rsidRPr="00657082">
        <w:rPr>
          <w:rFonts w:ascii="Verdana" w:hAnsi="Verdana"/>
          <w:i w:val="0"/>
          <w:color w:val="000000"/>
          <w:sz w:val="22"/>
          <w:szCs w:val="22"/>
        </w:rPr>
        <w:t>Las empresas solidarias</w:t>
      </w:r>
      <w:r w:rsidR="008100C1">
        <w:rPr>
          <w:rFonts w:ascii="Verdana" w:hAnsi="Verdana"/>
          <w:i w:val="0"/>
          <w:color w:val="000000"/>
          <w:sz w:val="22"/>
          <w:szCs w:val="22"/>
        </w:rPr>
        <w:t xml:space="preserve"> supervisadas</w:t>
      </w:r>
      <w:r w:rsidRPr="00657082">
        <w:rPr>
          <w:rFonts w:ascii="Verdana" w:hAnsi="Verdana"/>
          <w:i w:val="0"/>
          <w:color w:val="000000"/>
          <w:sz w:val="22"/>
          <w:szCs w:val="22"/>
        </w:rPr>
        <w:t xml:space="preserve"> que adopten</w:t>
      </w:r>
      <w:r w:rsidR="00174789" w:rsidRPr="00174789">
        <w:rPr>
          <w:rFonts w:ascii="Verdana" w:hAnsi="Verdana"/>
          <w:i w:val="0"/>
          <w:color w:val="000000"/>
          <w:sz w:val="22"/>
          <w:szCs w:val="22"/>
        </w:rPr>
        <w:t xml:space="preserve"> </w:t>
      </w:r>
      <w:r w:rsidR="00174789" w:rsidRPr="00657082">
        <w:rPr>
          <w:rFonts w:ascii="Verdana" w:hAnsi="Verdana"/>
          <w:i w:val="0"/>
          <w:color w:val="000000"/>
          <w:sz w:val="22"/>
          <w:szCs w:val="22"/>
        </w:rPr>
        <w:t>la aplicación de la Guía</w:t>
      </w:r>
      <w:r w:rsidRPr="00657082">
        <w:rPr>
          <w:rFonts w:ascii="Verdana" w:hAnsi="Verdana"/>
          <w:i w:val="0"/>
          <w:color w:val="000000"/>
          <w:sz w:val="22"/>
          <w:szCs w:val="22"/>
        </w:rPr>
        <w:t>, de conformidad con este acto o de manera voluntaria, deberán presentar en las reuniones ordinarias de sus asambleas generales un informe sobre la implementación y los resultados obtenidos.</w:t>
      </w:r>
    </w:p>
    <w:p w14:paraId="67E4376A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b/>
          <w:i w:val="0"/>
          <w:sz w:val="22"/>
          <w:szCs w:val="22"/>
        </w:rPr>
      </w:pPr>
    </w:p>
    <w:p w14:paraId="23ECD6DA" w14:textId="277C5561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color w:val="000000"/>
          <w:sz w:val="22"/>
          <w:szCs w:val="22"/>
        </w:rPr>
      </w:pPr>
      <w:r w:rsidRPr="00657082">
        <w:rPr>
          <w:rFonts w:ascii="Verdana" w:hAnsi="Verdana"/>
          <w:b/>
          <w:i w:val="0"/>
          <w:sz w:val="22"/>
          <w:szCs w:val="22"/>
        </w:rPr>
        <w:t>OCTAVA</w:t>
      </w:r>
      <w:r w:rsidRPr="00657082">
        <w:rPr>
          <w:rFonts w:ascii="Verdana" w:hAnsi="Verdana"/>
          <w:b/>
          <w:i w:val="0"/>
          <w:color w:val="000000"/>
          <w:sz w:val="22"/>
          <w:szCs w:val="22"/>
        </w:rPr>
        <w:t>:</w:t>
      </w:r>
      <w:r w:rsidRPr="00657082">
        <w:rPr>
          <w:rFonts w:ascii="Verdana" w:hAnsi="Verdana"/>
          <w:i w:val="0"/>
          <w:color w:val="000000"/>
          <w:sz w:val="22"/>
          <w:szCs w:val="22"/>
        </w:rPr>
        <w:t xml:space="preserve"> </w:t>
      </w:r>
      <w:r w:rsidRPr="00657082">
        <w:rPr>
          <w:rFonts w:ascii="Verdana" w:hAnsi="Verdana"/>
          <w:b/>
          <w:i w:val="0"/>
          <w:sz w:val="22"/>
          <w:szCs w:val="22"/>
        </w:rPr>
        <w:t>Sanciones.</w:t>
      </w:r>
      <w:r w:rsidRPr="00657082">
        <w:rPr>
          <w:rFonts w:ascii="Verdana" w:hAnsi="Verdana"/>
          <w:i w:val="0"/>
          <w:color w:val="000000"/>
          <w:sz w:val="22"/>
          <w:szCs w:val="22"/>
        </w:rPr>
        <w:t xml:space="preserve"> El incumplimiento de las disposiciones obligatorias, contenidas en la presente Circular dará lugar a la imposición de las sanciones administrativas señaladas en los numerales 6 y 7 del artículo 36 de la Ley 454 de 1998, numerales 1 y 2 del artículo 2 del Decreto 186 de 2004.</w:t>
      </w:r>
    </w:p>
    <w:p w14:paraId="4FFB1F98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color w:val="000000"/>
          <w:sz w:val="22"/>
          <w:szCs w:val="22"/>
          <w:highlight w:val="white"/>
        </w:rPr>
      </w:pPr>
    </w:p>
    <w:p w14:paraId="6FF7DF1C" w14:textId="1CE3BA6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sz w:val="22"/>
          <w:szCs w:val="22"/>
          <w:highlight w:val="white"/>
        </w:rPr>
      </w:pPr>
      <w:r w:rsidRPr="00657082">
        <w:rPr>
          <w:rFonts w:ascii="Verdana" w:hAnsi="Verdana"/>
          <w:b/>
          <w:i w:val="0"/>
          <w:color w:val="222222"/>
          <w:sz w:val="22"/>
          <w:szCs w:val="22"/>
          <w:highlight w:val="white"/>
        </w:rPr>
        <w:t xml:space="preserve">NOVENA: Derogatoria. </w:t>
      </w:r>
      <w:r w:rsidRPr="00657082">
        <w:rPr>
          <w:rFonts w:ascii="Verdana" w:hAnsi="Verdana"/>
          <w:i w:val="0"/>
          <w:sz w:val="22"/>
          <w:szCs w:val="22"/>
          <w:highlight w:val="white"/>
        </w:rPr>
        <w:t>La presente Circular Externa deroga la Carta Circular No.</w:t>
      </w:r>
      <w:r w:rsidR="00AE55E9">
        <w:rPr>
          <w:rFonts w:ascii="Verdana" w:hAnsi="Verdana"/>
          <w:i w:val="0"/>
          <w:sz w:val="22"/>
          <w:szCs w:val="22"/>
          <w:highlight w:val="white"/>
        </w:rPr>
        <w:t xml:space="preserve"> </w:t>
      </w:r>
      <w:r w:rsidRPr="00657082">
        <w:rPr>
          <w:rFonts w:ascii="Verdana" w:hAnsi="Verdana"/>
          <w:i w:val="0"/>
          <w:sz w:val="22"/>
          <w:szCs w:val="22"/>
          <w:highlight w:val="white"/>
        </w:rPr>
        <w:t>21</w:t>
      </w:r>
      <w:r w:rsidR="002829D6">
        <w:rPr>
          <w:rFonts w:ascii="Verdana" w:hAnsi="Verdana"/>
          <w:i w:val="0"/>
          <w:sz w:val="22"/>
          <w:szCs w:val="22"/>
          <w:highlight w:val="white"/>
        </w:rPr>
        <w:t xml:space="preserve"> de</w:t>
      </w:r>
      <w:r w:rsidRPr="00657082">
        <w:rPr>
          <w:rFonts w:ascii="Verdana" w:hAnsi="Verdana"/>
          <w:i w:val="0"/>
          <w:sz w:val="22"/>
          <w:szCs w:val="22"/>
          <w:highlight w:val="white"/>
        </w:rPr>
        <w:t xml:space="preserve"> junio de 2022.</w:t>
      </w:r>
    </w:p>
    <w:p w14:paraId="13372DA9" w14:textId="43B4748C" w:rsidR="00400429" w:rsidRDefault="00400429" w:rsidP="00400429">
      <w:pPr>
        <w:spacing w:line="254" w:lineRule="auto"/>
        <w:jc w:val="both"/>
        <w:rPr>
          <w:rFonts w:ascii="Verdana" w:hAnsi="Verdana"/>
          <w:b/>
          <w:i w:val="0"/>
          <w:color w:val="000000"/>
          <w:sz w:val="22"/>
          <w:szCs w:val="22"/>
          <w:highlight w:val="white"/>
        </w:rPr>
      </w:pPr>
    </w:p>
    <w:p w14:paraId="7CE7F5DA" w14:textId="69CF989D" w:rsidR="00174789" w:rsidRDefault="00174789" w:rsidP="00400429">
      <w:pPr>
        <w:spacing w:line="254" w:lineRule="auto"/>
        <w:jc w:val="both"/>
        <w:rPr>
          <w:rFonts w:ascii="Verdana" w:hAnsi="Verdana"/>
          <w:b/>
          <w:i w:val="0"/>
          <w:color w:val="000000"/>
          <w:sz w:val="22"/>
          <w:szCs w:val="22"/>
          <w:highlight w:val="white"/>
        </w:rPr>
      </w:pPr>
    </w:p>
    <w:p w14:paraId="5C1EB8F1" w14:textId="21A9E3B3" w:rsidR="00174789" w:rsidRDefault="00174789" w:rsidP="00400429">
      <w:pPr>
        <w:spacing w:line="254" w:lineRule="auto"/>
        <w:jc w:val="both"/>
        <w:rPr>
          <w:rFonts w:ascii="Verdana" w:hAnsi="Verdana"/>
          <w:b/>
          <w:i w:val="0"/>
          <w:color w:val="000000"/>
          <w:sz w:val="22"/>
          <w:szCs w:val="22"/>
          <w:highlight w:val="white"/>
        </w:rPr>
      </w:pPr>
    </w:p>
    <w:p w14:paraId="46DF62DE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color w:val="000000"/>
          <w:sz w:val="22"/>
          <w:szCs w:val="22"/>
          <w:highlight w:val="white"/>
        </w:rPr>
      </w:pPr>
      <w:r w:rsidRPr="00657082">
        <w:rPr>
          <w:rFonts w:ascii="Verdana" w:hAnsi="Verdana"/>
          <w:b/>
          <w:i w:val="0"/>
          <w:color w:val="000000"/>
          <w:sz w:val="22"/>
          <w:szCs w:val="22"/>
          <w:highlight w:val="white"/>
        </w:rPr>
        <w:t>DÉCIMA: V</w:t>
      </w:r>
      <w:r w:rsidRPr="00657082">
        <w:rPr>
          <w:rFonts w:ascii="Verdana" w:hAnsi="Verdana"/>
          <w:b/>
          <w:i w:val="0"/>
          <w:sz w:val="22"/>
          <w:szCs w:val="22"/>
          <w:highlight w:val="white"/>
        </w:rPr>
        <w:t>i</w:t>
      </w:r>
      <w:r w:rsidRPr="00657082">
        <w:rPr>
          <w:rFonts w:ascii="Verdana" w:hAnsi="Verdana"/>
          <w:b/>
          <w:i w:val="0"/>
          <w:color w:val="000000"/>
          <w:sz w:val="22"/>
          <w:szCs w:val="22"/>
          <w:highlight w:val="white"/>
        </w:rPr>
        <w:t>gencia</w:t>
      </w:r>
      <w:r w:rsidRPr="00657082">
        <w:rPr>
          <w:rFonts w:ascii="Verdana" w:hAnsi="Verdana"/>
          <w:b/>
          <w:i w:val="0"/>
          <w:sz w:val="22"/>
          <w:szCs w:val="22"/>
          <w:highlight w:val="white"/>
        </w:rPr>
        <w:t>.</w:t>
      </w:r>
      <w:r w:rsidRPr="00657082">
        <w:rPr>
          <w:rFonts w:ascii="Verdana" w:hAnsi="Verdana"/>
          <w:i w:val="0"/>
          <w:sz w:val="22"/>
          <w:szCs w:val="22"/>
          <w:highlight w:val="white"/>
        </w:rPr>
        <w:t xml:space="preserve"> C</w:t>
      </w:r>
      <w:r w:rsidRPr="00657082">
        <w:rPr>
          <w:rFonts w:ascii="Verdana" w:hAnsi="Verdana"/>
          <w:i w:val="0"/>
          <w:color w:val="000000"/>
          <w:sz w:val="22"/>
          <w:szCs w:val="22"/>
          <w:highlight w:val="white"/>
        </w:rPr>
        <w:t>onforme a lo previsto en el inciso primero del artículo 65 de la Ley 1437 de 2011, la presente Circular rige a partir de la fecha de publicación en el Diario Oficial.</w:t>
      </w:r>
    </w:p>
    <w:p w14:paraId="02600198" w14:textId="77777777" w:rsidR="00400429" w:rsidRPr="00657082" w:rsidRDefault="00400429" w:rsidP="00400429">
      <w:pPr>
        <w:spacing w:line="254" w:lineRule="auto"/>
        <w:jc w:val="both"/>
        <w:rPr>
          <w:rFonts w:ascii="Verdana" w:hAnsi="Verdana"/>
          <w:i w:val="0"/>
          <w:color w:val="000000"/>
          <w:sz w:val="22"/>
          <w:szCs w:val="22"/>
          <w:highlight w:val="white"/>
        </w:rPr>
      </w:pPr>
    </w:p>
    <w:p w14:paraId="3829DB12" w14:textId="77777777" w:rsidR="00400429" w:rsidRPr="00657082" w:rsidRDefault="00400429" w:rsidP="00400429">
      <w:pPr>
        <w:rPr>
          <w:rFonts w:ascii="Verdana" w:hAnsi="Verdana"/>
          <w:i w:val="0"/>
          <w:sz w:val="22"/>
          <w:szCs w:val="22"/>
        </w:rPr>
      </w:pPr>
      <w:r w:rsidRPr="00657082">
        <w:rPr>
          <w:rFonts w:ascii="Verdana" w:hAnsi="Verdana"/>
          <w:i w:val="0"/>
          <w:sz w:val="22"/>
          <w:szCs w:val="22"/>
        </w:rPr>
        <w:t>Cordialmente,</w:t>
      </w:r>
    </w:p>
    <w:p w14:paraId="38C60A84" w14:textId="6772C407" w:rsidR="00400429" w:rsidRDefault="00400429" w:rsidP="00400429">
      <w:pPr>
        <w:rPr>
          <w:rFonts w:ascii="Verdana" w:hAnsi="Verdana"/>
          <w:i w:val="0"/>
          <w:sz w:val="22"/>
          <w:szCs w:val="22"/>
        </w:rPr>
      </w:pPr>
    </w:p>
    <w:p w14:paraId="38D72CBD" w14:textId="31DC3397" w:rsidR="00AE55E9" w:rsidRDefault="00AE55E9" w:rsidP="00400429">
      <w:pPr>
        <w:rPr>
          <w:rFonts w:ascii="Verdana" w:hAnsi="Verdana"/>
          <w:i w:val="0"/>
          <w:sz w:val="22"/>
          <w:szCs w:val="22"/>
        </w:rPr>
      </w:pPr>
    </w:p>
    <w:p w14:paraId="67B3F508" w14:textId="77777777" w:rsidR="00AE55E9" w:rsidRPr="00657082" w:rsidRDefault="00AE55E9" w:rsidP="00400429">
      <w:pPr>
        <w:rPr>
          <w:rFonts w:ascii="Verdana" w:hAnsi="Verdana"/>
          <w:i w:val="0"/>
          <w:sz w:val="22"/>
          <w:szCs w:val="22"/>
        </w:rPr>
      </w:pPr>
    </w:p>
    <w:p w14:paraId="208E3901" w14:textId="77777777" w:rsidR="00400429" w:rsidRPr="00657082" w:rsidRDefault="00400429" w:rsidP="00400429">
      <w:pPr>
        <w:rPr>
          <w:rFonts w:ascii="Verdana" w:hAnsi="Verdana"/>
          <w:i w:val="0"/>
          <w:sz w:val="22"/>
          <w:szCs w:val="22"/>
        </w:rPr>
      </w:pPr>
    </w:p>
    <w:p w14:paraId="0B2DA70B" w14:textId="77777777" w:rsidR="00400429" w:rsidRPr="00657082" w:rsidRDefault="00400429" w:rsidP="00400429">
      <w:pPr>
        <w:rPr>
          <w:rFonts w:ascii="Verdana" w:hAnsi="Verdana"/>
          <w:i w:val="0"/>
          <w:sz w:val="22"/>
          <w:szCs w:val="22"/>
        </w:rPr>
      </w:pPr>
    </w:p>
    <w:p w14:paraId="50C0DD0E" w14:textId="72573896" w:rsidR="00400429" w:rsidRDefault="00400429" w:rsidP="00400429">
      <w:pPr>
        <w:rPr>
          <w:rFonts w:ascii="Verdana" w:hAnsi="Verdana"/>
          <w:i w:val="0"/>
          <w:sz w:val="22"/>
          <w:szCs w:val="22"/>
        </w:rPr>
      </w:pPr>
    </w:p>
    <w:p w14:paraId="1722D9AA" w14:textId="77777777" w:rsidR="00174789" w:rsidRPr="00657082" w:rsidRDefault="00174789" w:rsidP="00400429">
      <w:pPr>
        <w:rPr>
          <w:rFonts w:ascii="Verdana" w:hAnsi="Verdana"/>
          <w:i w:val="0"/>
          <w:sz w:val="22"/>
          <w:szCs w:val="22"/>
        </w:rPr>
      </w:pPr>
    </w:p>
    <w:p w14:paraId="274F095E" w14:textId="77777777" w:rsidR="00400429" w:rsidRPr="00657082" w:rsidRDefault="00400429" w:rsidP="00400429">
      <w:pPr>
        <w:rPr>
          <w:rFonts w:ascii="Verdana" w:hAnsi="Verdana"/>
          <w:b/>
          <w:i w:val="0"/>
          <w:sz w:val="22"/>
          <w:szCs w:val="22"/>
        </w:rPr>
      </w:pPr>
      <w:r w:rsidRPr="00657082">
        <w:rPr>
          <w:rFonts w:ascii="Verdana" w:hAnsi="Verdana"/>
          <w:b/>
          <w:i w:val="0"/>
          <w:sz w:val="22"/>
          <w:szCs w:val="22"/>
        </w:rPr>
        <w:t>MARÍA JOSÉ NAVARRO MUÑOZ</w:t>
      </w:r>
    </w:p>
    <w:p w14:paraId="1E272F4C" w14:textId="77777777" w:rsidR="00400429" w:rsidRPr="00657082" w:rsidRDefault="00400429" w:rsidP="00400429">
      <w:pPr>
        <w:jc w:val="both"/>
        <w:rPr>
          <w:rFonts w:ascii="Verdana" w:hAnsi="Verdana"/>
          <w:i w:val="0"/>
          <w:sz w:val="20"/>
          <w:szCs w:val="20"/>
        </w:rPr>
      </w:pPr>
      <w:r w:rsidRPr="00657082">
        <w:rPr>
          <w:rFonts w:ascii="Verdana" w:hAnsi="Verdana"/>
          <w:i w:val="0"/>
          <w:sz w:val="22"/>
          <w:szCs w:val="22"/>
        </w:rPr>
        <w:t>Superintendenta de la Economía Solidaria</w:t>
      </w:r>
    </w:p>
    <w:p w14:paraId="604E2969" w14:textId="77777777" w:rsidR="00400429" w:rsidRDefault="00400429" w:rsidP="00400429">
      <w:pPr>
        <w:rPr>
          <w:rFonts w:ascii="Verdana" w:hAnsi="Verdana"/>
          <w:sz w:val="22"/>
          <w:szCs w:val="22"/>
        </w:rPr>
      </w:pPr>
    </w:p>
    <w:p w14:paraId="323C720F" w14:textId="0E150E64" w:rsidR="00174789" w:rsidRDefault="00400429" w:rsidP="00400429">
      <w:pPr>
        <w:rPr>
          <w:rFonts w:ascii="Verdana" w:hAnsi="Verdana"/>
          <w:i w:val="0"/>
          <w:sz w:val="12"/>
          <w:szCs w:val="12"/>
        </w:rPr>
      </w:pPr>
      <w:r w:rsidRPr="00174789">
        <w:rPr>
          <w:rFonts w:ascii="Verdana" w:hAnsi="Verdana"/>
          <w:i w:val="0"/>
          <w:sz w:val="12"/>
          <w:szCs w:val="12"/>
        </w:rPr>
        <w:t>Proyectó:</w:t>
      </w:r>
      <w:r w:rsidR="00174789">
        <w:rPr>
          <w:rFonts w:ascii="Verdana" w:hAnsi="Verdana"/>
          <w:i w:val="0"/>
          <w:sz w:val="12"/>
          <w:szCs w:val="12"/>
        </w:rPr>
        <w:t xml:space="preserve"> </w:t>
      </w:r>
      <w:proofErr w:type="spellStart"/>
      <w:r w:rsidRPr="00174789">
        <w:rPr>
          <w:rFonts w:ascii="Verdana" w:hAnsi="Verdana"/>
          <w:i w:val="0"/>
          <w:sz w:val="12"/>
          <w:szCs w:val="12"/>
        </w:rPr>
        <w:t>Caterine</w:t>
      </w:r>
      <w:proofErr w:type="spellEnd"/>
      <w:r w:rsidRPr="00174789">
        <w:rPr>
          <w:rFonts w:ascii="Verdana" w:hAnsi="Verdana"/>
          <w:i w:val="0"/>
          <w:sz w:val="12"/>
          <w:szCs w:val="12"/>
        </w:rPr>
        <w:t xml:space="preserve"> Benítez Cárdenas</w:t>
      </w:r>
    </w:p>
    <w:p w14:paraId="5FD01D0B" w14:textId="77777777" w:rsidR="00174789" w:rsidRDefault="00B9068E" w:rsidP="00174789">
      <w:pPr>
        <w:ind w:left="567"/>
        <w:rPr>
          <w:rStyle w:val="Hipervnculo"/>
          <w:rFonts w:ascii="Verdana" w:hAnsi="Verdana" w:cs="Arial"/>
          <w:i w:val="0"/>
          <w:color w:val="auto"/>
          <w:sz w:val="12"/>
          <w:szCs w:val="12"/>
          <w:u w:val="none"/>
        </w:rPr>
      </w:pPr>
      <w:hyperlink r:id="rId8" w:history="1">
        <w:r w:rsidR="00400429" w:rsidRPr="00174789">
          <w:rPr>
            <w:rStyle w:val="Hipervnculo"/>
            <w:rFonts w:ascii="Verdana" w:hAnsi="Verdana" w:cs="Arial"/>
            <w:i w:val="0"/>
            <w:color w:val="auto"/>
            <w:sz w:val="12"/>
            <w:szCs w:val="12"/>
            <w:u w:val="none"/>
          </w:rPr>
          <w:t>Ericka Marcela Cáceres Quevedo</w:t>
        </w:r>
      </w:hyperlink>
    </w:p>
    <w:p w14:paraId="63086C34" w14:textId="26713377" w:rsidR="00400429" w:rsidRPr="00174789" w:rsidRDefault="00B9068E" w:rsidP="00174789">
      <w:pPr>
        <w:ind w:left="567"/>
        <w:rPr>
          <w:rFonts w:ascii="Verdana" w:hAnsi="Verdana"/>
          <w:i w:val="0"/>
          <w:sz w:val="12"/>
          <w:szCs w:val="12"/>
        </w:rPr>
      </w:pPr>
      <w:hyperlink r:id="rId9" w:history="1">
        <w:r w:rsidR="00400429" w:rsidRPr="00174789">
          <w:rPr>
            <w:rStyle w:val="Hipervnculo"/>
            <w:rFonts w:ascii="Verdana" w:hAnsi="Verdana" w:cs="Arial"/>
            <w:i w:val="0"/>
            <w:color w:val="auto"/>
            <w:sz w:val="12"/>
            <w:szCs w:val="12"/>
            <w:u w:val="none"/>
          </w:rPr>
          <w:t>Guillermo Alberto Duarte Quevedo</w:t>
        </w:r>
      </w:hyperlink>
    </w:p>
    <w:p w14:paraId="552BF256" w14:textId="77777777" w:rsidR="00400429" w:rsidRPr="00174789" w:rsidRDefault="00400429" w:rsidP="00400429">
      <w:pPr>
        <w:rPr>
          <w:rFonts w:ascii="Verdana" w:hAnsi="Verdana"/>
          <w:i w:val="0"/>
          <w:sz w:val="12"/>
          <w:szCs w:val="12"/>
        </w:rPr>
      </w:pPr>
      <w:r w:rsidRPr="00174789">
        <w:rPr>
          <w:rFonts w:ascii="Verdana" w:hAnsi="Verdana"/>
          <w:i w:val="0"/>
          <w:sz w:val="12"/>
          <w:szCs w:val="12"/>
        </w:rPr>
        <w:t>Revisó:   Marelvi Hortensia Bernal Nempeque</w:t>
      </w:r>
    </w:p>
    <w:p w14:paraId="11FCB938" w14:textId="130B0264" w:rsidR="00400429" w:rsidRPr="00174789" w:rsidRDefault="00400429" w:rsidP="00174789">
      <w:pPr>
        <w:ind w:left="567"/>
        <w:rPr>
          <w:rFonts w:ascii="Verdana" w:hAnsi="Verdana"/>
          <w:i w:val="0"/>
          <w:sz w:val="12"/>
          <w:szCs w:val="12"/>
        </w:rPr>
      </w:pPr>
      <w:r w:rsidRPr="00174789">
        <w:rPr>
          <w:rFonts w:ascii="Verdana" w:hAnsi="Verdana"/>
          <w:i w:val="0"/>
          <w:sz w:val="12"/>
          <w:szCs w:val="12"/>
        </w:rPr>
        <w:t>Diana Patricia Cabrera Erazo</w:t>
      </w:r>
    </w:p>
    <w:p w14:paraId="37C5F64B" w14:textId="77777777" w:rsidR="00174789" w:rsidRDefault="00400429" w:rsidP="00174789">
      <w:pPr>
        <w:ind w:firstLine="567"/>
        <w:rPr>
          <w:rFonts w:ascii="Verdana" w:hAnsi="Verdana"/>
          <w:i w:val="0"/>
          <w:sz w:val="12"/>
          <w:szCs w:val="12"/>
        </w:rPr>
      </w:pPr>
      <w:r w:rsidRPr="00174789">
        <w:rPr>
          <w:rFonts w:ascii="Verdana" w:hAnsi="Verdana"/>
          <w:i w:val="0"/>
          <w:sz w:val="12"/>
          <w:szCs w:val="12"/>
        </w:rPr>
        <w:t>Diana Rocío Osorio Ortiz</w:t>
      </w:r>
      <w:r w:rsidRPr="00174789">
        <w:rPr>
          <w:rFonts w:ascii="Verdana" w:hAnsi="Verdana"/>
          <w:i w:val="0"/>
          <w:sz w:val="12"/>
          <w:szCs w:val="12"/>
        </w:rPr>
        <w:tab/>
      </w:r>
    </w:p>
    <w:p w14:paraId="3F7A6C83" w14:textId="58D5DC6E" w:rsidR="00174789" w:rsidRDefault="00400429" w:rsidP="00174789">
      <w:pPr>
        <w:tabs>
          <w:tab w:val="left" w:pos="4223"/>
        </w:tabs>
        <w:ind w:firstLine="567"/>
        <w:rPr>
          <w:rFonts w:ascii="Verdana" w:hAnsi="Verdana"/>
          <w:i w:val="0"/>
          <w:sz w:val="12"/>
          <w:szCs w:val="12"/>
        </w:rPr>
      </w:pPr>
      <w:r w:rsidRPr="00174789">
        <w:rPr>
          <w:rFonts w:ascii="Verdana" w:hAnsi="Verdana"/>
          <w:i w:val="0"/>
          <w:sz w:val="12"/>
          <w:szCs w:val="12"/>
        </w:rPr>
        <w:t>Beatriz Leonela Lizcano Castro</w:t>
      </w:r>
      <w:r w:rsidR="00174789">
        <w:rPr>
          <w:rFonts w:ascii="Verdana" w:hAnsi="Verdana"/>
          <w:i w:val="0"/>
          <w:sz w:val="12"/>
          <w:szCs w:val="12"/>
        </w:rPr>
        <w:tab/>
      </w:r>
    </w:p>
    <w:p w14:paraId="08D475F3" w14:textId="77777777" w:rsidR="00174789" w:rsidRDefault="00400429" w:rsidP="00174789">
      <w:pPr>
        <w:ind w:firstLine="567"/>
        <w:rPr>
          <w:rFonts w:ascii="Verdana" w:hAnsi="Verdana"/>
          <w:i w:val="0"/>
          <w:sz w:val="12"/>
          <w:szCs w:val="12"/>
        </w:rPr>
      </w:pPr>
      <w:r w:rsidRPr="00174789">
        <w:rPr>
          <w:rFonts w:ascii="Verdana" w:hAnsi="Verdana"/>
          <w:i w:val="0"/>
          <w:sz w:val="12"/>
          <w:szCs w:val="12"/>
        </w:rPr>
        <w:t>Jhaniela Jiménez Gutiérrez</w:t>
      </w:r>
    </w:p>
    <w:p w14:paraId="1B9D1710" w14:textId="77777777" w:rsidR="00174789" w:rsidRDefault="00400429" w:rsidP="00174789">
      <w:pPr>
        <w:ind w:firstLine="567"/>
        <w:rPr>
          <w:rFonts w:ascii="Verdana" w:hAnsi="Verdana"/>
          <w:i w:val="0"/>
          <w:sz w:val="12"/>
          <w:szCs w:val="12"/>
        </w:rPr>
      </w:pPr>
      <w:r w:rsidRPr="00174789">
        <w:rPr>
          <w:rFonts w:ascii="Verdana" w:hAnsi="Verdana"/>
          <w:i w:val="0"/>
          <w:sz w:val="12"/>
          <w:szCs w:val="12"/>
        </w:rPr>
        <w:t>Angélica María Zamora Acosta</w:t>
      </w:r>
    </w:p>
    <w:p w14:paraId="43BFB220" w14:textId="77777777" w:rsidR="00174789" w:rsidRDefault="00B9068E" w:rsidP="00174789">
      <w:pPr>
        <w:ind w:firstLine="567"/>
        <w:rPr>
          <w:rFonts w:ascii="Verdana" w:hAnsi="Verdana"/>
          <w:i w:val="0"/>
          <w:sz w:val="12"/>
          <w:szCs w:val="12"/>
        </w:rPr>
      </w:pPr>
      <w:hyperlink r:id="rId10" w:history="1">
        <w:proofErr w:type="spellStart"/>
        <w:r w:rsidR="00400429" w:rsidRPr="00174789">
          <w:rPr>
            <w:rFonts w:ascii="Verdana" w:hAnsi="Verdana"/>
            <w:i w:val="0"/>
            <w:sz w:val="12"/>
            <w:szCs w:val="12"/>
          </w:rPr>
          <w:t>Raiza</w:t>
        </w:r>
        <w:proofErr w:type="spellEnd"/>
        <w:r w:rsidR="00400429" w:rsidRPr="00174789">
          <w:rPr>
            <w:rFonts w:ascii="Verdana" w:hAnsi="Verdana"/>
            <w:i w:val="0"/>
            <w:sz w:val="12"/>
            <w:szCs w:val="12"/>
          </w:rPr>
          <w:t xml:space="preserve"> Posada Cotes</w:t>
        </w:r>
      </w:hyperlink>
    </w:p>
    <w:p w14:paraId="343110E2" w14:textId="5A211F6E" w:rsidR="000F7FD7" w:rsidRPr="00174789" w:rsidRDefault="00400429" w:rsidP="00174789">
      <w:pPr>
        <w:ind w:firstLine="567"/>
        <w:rPr>
          <w:rFonts w:ascii="Verdana" w:hAnsi="Verdana"/>
          <w:i w:val="0"/>
          <w:sz w:val="12"/>
          <w:szCs w:val="12"/>
        </w:rPr>
      </w:pPr>
      <w:r w:rsidRPr="00174789">
        <w:rPr>
          <w:rFonts w:ascii="Verdana" w:hAnsi="Verdana"/>
          <w:i w:val="0"/>
          <w:sz w:val="12"/>
          <w:szCs w:val="12"/>
        </w:rPr>
        <w:t>Laura Sofía Prada Cardoso</w:t>
      </w:r>
    </w:p>
    <w:p w14:paraId="59618BC3" w14:textId="77777777" w:rsidR="000F7FD7" w:rsidRPr="005806F8" w:rsidRDefault="000F7FD7" w:rsidP="0026227A">
      <w:pPr>
        <w:rPr>
          <w:rFonts w:ascii="Verdana" w:hAnsi="Verdana"/>
          <w:sz w:val="18"/>
          <w:szCs w:val="18"/>
          <w:lang w:val="es-MX"/>
        </w:rPr>
      </w:pPr>
    </w:p>
    <w:p w14:paraId="0E3B93A1" w14:textId="77777777" w:rsidR="000F7FD7" w:rsidRPr="005806F8" w:rsidRDefault="000F7FD7" w:rsidP="0026227A">
      <w:pPr>
        <w:rPr>
          <w:rFonts w:ascii="Verdana" w:hAnsi="Verdana"/>
          <w:sz w:val="18"/>
          <w:szCs w:val="18"/>
          <w:lang w:val="es-MX"/>
        </w:rPr>
      </w:pPr>
    </w:p>
    <w:p w14:paraId="1E9B4E86" w14:textId="77777777" w:rsidR="000C0C1F" w:rsidRPr="005806F8" w:rsidRDefault="000C0C1F" w:rsidP="0026227A">
      <w:pPr>
        <w:tabs>
          <w:tab w:val="left" w:pos="5160"/>
        </w:tabs>
        <w:rPr>
          <w:rFonts w:ascii="Verdana" w:hAnsi="Verdana"/>
          <w:sz w:val="18"/>
          <w:szCs w:val="18"/>
          <w:lang w:val="es-MX"/>
        </w:rPr>
      </w:pPr>
    </w:p>
    <w:p w14:paraId="472025A6" w14:textId="77777777" w:rsidR="000C0C1F" w:rsidRPr="005806F8" w:rsidRDefault="000C0C1F" w:rsidP="000C0C1F">
      <w:pPr>
        <w:rPr>
          <w:rFonts w:ascii="Verdana" w:hAnsi="Verdana"/>
          <w:sz w:val="18"/>
          <w:szCs w:val="18"/>
          <w:lang w:val="es-MX"/>
        </w:rPr>
      </w:pPr>
    </w:p>
    <w:p w14:paraId="359FDB06" w14:textId="77777777" w:rsidR="009B02E7" w:rsidRPr="005806F8" w:rsidRDefault="009B02E7" w:rsidP="000C0C1F">
      <w:pPr>
        <w:rPr>
          <w:rFonts w:ascii="Verdana" w:hAnsi="Verdana"/>
          <w:sz w:val="18"/>
          <w:szCs w:val="18"/>
          <w:lang w:val="es-MX"/>
        </w:rPr>
      </w:pPr>
    </w:p>
    <w:p w14:paraId="5E1FEE68" w14:textId="77777777" w:rsidR="0066566A" w:rsidRPr="005806F8" w:rsidRDefault="0066566A" w:rsidP="000C0C1F">
      <w:pPr>
        <w:rPr>
          <w:rFonts w:ascii="Verdana" w:hAnsi="Verdana"/>
          <w:sz w:val="18"/>
          <w:szCs w:val="18"/>
          <w:lang w:val="es-MX"/>
        </w:rPr>
      </w:pPr>
    </w:p>
    <w:p w14:paraId="0A0A0625" w14:textId="77777777" w:rsidR="0066566A" w:rsidRPr="005806F8" w:rsidRDefault="0066566A" w:rsidP="000C0C1F">
      <w:pPr>
        <w:rPr>
          <w:rFonts w:ascii="Verdana" w:hAnsi="Verdana"/>
          <w:sz w:val="18"/>
          <w:szCs w:val="18"/>
          <w:lang w:val="es-MX"/>
        </w:rPr>
      </w:pPr>
    </w:p>
    <w:p w14:paraId="3D9A5E4E" w14:textId="77777777" w:rsidR="0066566A" w:rsidRDefault="0066566A" w:rsidP="000C0C1F">
      <w:pPr>
        <w:rPr>
          <w:sz w:val="18"/>
          <w:szCs w:val="18"/>
          <w:lang w:val="es-MX"/>
        </w:rPr>
      </w:pPr>
    </w:p>
    <w:p w14:paraId="6620BE42" w14:textId="7D132AD8" w:rsidR="0066566A" w:rsidRDefault="0066566A" w:rsidP="000C0C1F">
      <w:pPr>
        <w:rPr>
          <w:sz w:val="18"/>
          <w:szCs w:val="18"/>
          <w:lang w:val="es-MX"/>
        </w:rPr>
      </w:pPr>
    </w:p>
    <w:p w14:paraId="1FBB85DB" w14:textId="780AE936" w:rsidR="005806F8" w:rsidRDefault="005806F8" w:rsidP="000C0C1F">
      <w:pPr>
        <w:rPr>
          <w:sz w:val="18"/>
          <w:szCs w:val="18"/>
          <w:lang w:val="es-MX"/>
        </w:rPr>
      </w:pPr>
    </w:p>
    <w:p w14:paraId="55A1C7D5" w14:textId="3A7C231A" w:rsidR="005806F8" w:rsidRDefault="005806F8" w:rsidP="000C0C1F">
      <w:pPr>
        <w:rPr>
          <w:sz w:val="18"/>
          <w:szCs w:val="18"/>
          <w:lang w:val="es-MX"/>
        </w:rPr>
      </w:pPr>
    </w:p>
    <w:p w14:paraId="475B656D" w14:textId="184EDD4B" w:rsidR="005806F8" w:rsidRDefault="005806F8" w:rsidP="000C0C1F">
      <w:pPr>
        <w:rPr>
          <w:sz w:val="18"/>
          <w:szCs w:val="18"/>
          <w:lang w:val="es-MX"/>
        </w:rPr>
      </w:pPr>
    </w:p>
    <w:p w14:paraId="248C3FCB" w14:textId="77777777" w:rsidR="005806F8" w:rsidRPr="000C0C1F" w:rsidRDefault="005806F8" w:rsidP="000C0C1F">
      <w:pPr>
        <w:rPr>
          <w:sz w:val="18"/>
          <w:szCs w:val="18"/>
          <w:lang w:val="es-MX"/>
        </w:rPr>
      </w:pPr>
    </w:p>
    <w:sectPr w:rsidR="005806F8" w:rsidRPr="000C0C1F" w:rsidSect="00E20347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3975" w14:textId="77777777" w:rsidR="00B9068E" w:rsidRDefault="00B9068E">
      <w:r>
        <w:separator/>
      </w:r>
    </w:p>
  </w:endnote>
  <w:endnote w:type="continuationSeparator" w:id="0">
    <w:p w14:paraId="6B1205AD" w14:textId="77777777" w:rsidR="00B9068E" w:rsidRDefault="00B9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B39" w14:textId="1B75C595" w:rsidR="005806F8" w:rsidRDefault="005806F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3141C49" wp14:editId="34C9A450">
              <wp:simplePos x="0" y="0"/>
              <wp:positionH relativeFrom="page">
                <wp:posOffset>1203960</wp:posOffset>
              </wp:positionH>
              <wp:positionV relativeFrom="paragraph">
                <wp:posOffset>162560</wp:posOffset>
              </wp:positionV>
              <wp:extent cx="5391150" cy="1229995"/>
              <wp:effectExtent l="0" t="0" r="0" b="0"/>
              <wp:wrapThrough wrapText="bothSides">
                <wp:wrapPolygon edited="0">
                  <wp:start x="229" y="0"/>
                  <wp:lineTo x="229" y="21076"/>
                  <wp:lineTo x="21371" y="21076"/>
                  <wp:lineTo x="21371" y="0"/>
                  <wp:lineTo x="229" y="0"/>
                </wp:wrapPolygon>
              </wp:wrapThrough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3D635" w14:textId="59097024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____________________________________________________________________</w:t>
                          </w:r>
                          <w:r w:rsid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0ADD79D0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Superintendencia de la Economía Solidaria</w:t>
                          </w:r>
                        </w:p>
                        <w:p w14:paraId="6D96C9C5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Avenida Calle 24 (Esperanza) N° 60-50 Piso 8 Centro Empresarial Gran Estación</w:t>
                          </w:r>
                        </w:p>
                        <w:p w14:paraId="4CC78706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PBX: (+57) (601)7 560 557</w:t>
                          </w:r>
                        </w:p>
                        <w:p w14:paraId="1D93BFC8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41C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4.8pt;margin-top:12.8pt;width:424.5pt;height:9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" filled="f" stroked="f" strokeweight=".5pt">
              <v:textbox>
                <w:txbxContent>
                  <w:p w14:paraId="4523D635" w14:textId="59097024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sz w:val="18"/>
                        <w:szCs w:val="18"/>
                      </w:rPr>
                      <w:t>____________________________________________________________________</w:t>
                    </w:r>
                    <w:r w:rsidR="005806F8">
                      <w:rPr>
                        <w:rFonts w:ascii="Verdana" w:hAnsi="Verdana"/>
                        <w:sz w:val="18"/>
                        <w:szCs w:val="18"/>
                      </w:rPr>
                      <w:t>__</w:t>
                    </w:r>
                  </w:p>
                  <w:p w14:paraId="0ADD79D0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  <w:t>Superintendencia de la Economía Solidaria</w:t>
                    </w:r>
                  </w:p>
                  <w:p w14:paraId="6D96C9C5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Avenida Calle 24 (Esperanza) N° 60-50 Piso 8 Centro Empresarial Gran Estación</w:t>
                    </w:r>
                  </w:p>
                  <w:p w14:paraId="4CC78706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PBX: (+57) (601)7 560 557</w:t>
                    </w:r>
                  </w:p>
                  <w:p w14:paraId="1D93BFC8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Línea Gratis: 018000-180-430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15113217" w14:textId="52337754" w:rsidR="00B16792" w:rsidRDefault="00B16792">
    <w:pPr>
      <w:pStyle w:val="Piedepgina"/>
    </w:pPr>
  </w:p>
  <w:p w14:paraId="624B3505" w14:textId="77777777" w:rsidR="00B16792" w:rsidRDefault="00B16792">
    <w:pPr>
      <w:pStyle w:val="Piedepgina"/>
    </w:pPr>
  </w:p>
  <w:p w14:paraId="4CC4681F" w14:textId="77777777" w:rsidR="009B02E7" w:rsidRDefault="009B02E7">
    <w:pPr>
      <w:pStyle w:val="Piedepgina"/>
    </w:pPr>
  </w:p>
  <w:p w14:paraId="25DB4D52" w14:textId="160893F5" w:rsidR="009B02E7" w:rsidRDefault="009B02E7">
    <w:pPr>
      <w:pStyle w:val="Piedepgina"/>
    </w:pPr>
  </w:p>
  <w:p w14:paraId="69321762" w14:textId="1985F9C7" w:rsidR="009B02E7" w:rsidRDefault="009B02E7">
    <w:pPr>
      <w:pStyle w:val="Piedepgina"/>
    </w:pPr>
  </w:p>
  <w:p w14:paraId="41B7E737" w14:textId="77777777" w:rsidR="009B02E7" w:rsidRDefault="009B02E7">
    <w:pPr>
      <w:pStyle w:val="Piedepgina"/>
    </w:pPr>
  </w:p>
  <w:p w14:paraId="472DEFF0" w14:textId="77777777" w:rsidR="009B02E7" w:rsidRDefault="009B02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89F0" w14:textId="7B58DA7C" w:rsidR="00B16792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12E246" wp14:editId="40FC236E">
              <wp:simplePos x="0" y="0"/>
              <wp:positionH relativeFrom="page">
                <wp:align>center</wp:align>
              </wp:positionH>
              <wp:positionV relativeFrom="paragraph">
                <wp:posOffset>56515</wp:posOffset>
              </wp:positionV>
              <wp:extent cx="5391150" cy="1229995"/>
              <wp:effectExtent l="0" t="0" r="0" b="0"/>
              <wp:wrapThrough wrapText="bothSides">
                <wp:wrapPolygon edited="0">
                  <wp:start x="229" y="0"/>
                  <wp:lineTo x="229" y="21076"/>
                  <wp:lineTo x="21371" y="21076"/>
                  <wp:lineTo x="21371" y="0"/>
                  <wp:lineTo x="229" y="0"/>
                </wp:wrapPolygon>
              </wp:wrapThrough>
              <wp:docPr id="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4503A6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6BA9C48E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Superintendencia de la Economía Solidaria</w:t>
                          </w:r>
                        </w:p>
                        <w:p w14:paraId="6AE65FD6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Avenida Calle 24 (Esperanza) N° 60-50 Piso 8 Centro Empresarial Gran Estación</w:t>
                          </w:r>
                        </w:p>
                        <w:p w14:paraId="22F79672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PBX: (+57) (601)7 560 557</w:t>
                          </w:r>
                        </w:p>
                        <w:p w14:paraId="0F535714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2E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4.45pt;width:424.5pt;height:96.8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" filled="f" stroked="f" strokeweight=".5pt">
              <v:textbox>
                <w:txbxContent>
                  <w:p w14:paraId="4D4503A6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sz w:val="18"/>
                        <w:szCs w:val="18"/>
                      </w:rPr>
                      <w:t>____________________________________________________________________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__</w:t>
                    </w:r>
                  </w:p>
                  <w:p w14:paraId="6BA9C48E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  <w:t>Superintendencia de la Economía Solidaria</w:t>
                    </w:r>
                  </w:p>
                  <w:p w14:paraId="6AE65FD6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Avenida Calle 24 (Esperanza) N° 60-50 Piso 8 Centro Empresarial Gran Estación</w:t>
                    </w:r>
                  </w:p>
                  <w:p w14:paraId="22F79672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PBX: (+57) (601)7 560 557</w:t>
                    </w:r>
                  </w:p>
                  <w:p w14:paraId="0F535714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Línea Gratis: 018000-180-430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00471487" w14:textId="1FC1AA3F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887B845" w14:textId="09B521B6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4DAF34D" w14:textId="1AC2B66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3ADBF12C" w14:textId="46E24C0B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28C208E" w14:textId="04C9CA4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C617515" w14:textId="23E806A8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175430C1" w14:textId="77777777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9858C8D" w14:textId="77777777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D1C2F07" w14:textId="3A30C09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75A35D3" w14:textId="57CDC235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65DEA8A" w14:textId="60657212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2ED6043E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30FF5" id="Cuadro de texto 25" o:spid="_x0000_s1028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1701" w14:textId="77777777" w:rsidR="00B9068E" w:rsidRDefault="00B9068E">
      <w:r>
        <w:separator/>
      </w:r>
    </w:p>
  </w:footnote>
  <w:footnote w:type="continuationSeparator" w:id="0">
    <w:p w14:paraId="0010DC40" w14:textId="77777777" w:rsidR="00B9068E" w:rsidRDefault="00B9068E">
      <w:r>
        <w:continuationSeparator/>
      </w:r>
    </w:p>
  </w:footnote>
  <w:footnote w:id="1">
    <w:p w14:paraId="0CA1F05C" w14:textId="77777777" w:rsidR="00657082" w:rsidRPr="00E12B47" w:rsidRDefault="00657082" w:rsidP="00657082">
      <w:pPr>
        <w:spacing w:line="254" w:lineRule="auto"/>
        <w:jc w:val="both"/>
        <w:rPr>
          <w:rFonts w:ascii="Verdana" w:hAnsi="Verdana"/>
          <w:i w:val="0"/>
          <w:sz w:val="16"/>
          <w:szCs w:val="16"/>
        </w:rPr>
      </w:pPr>
      <w:r w:rsidRPr="00E12B47">
        <w:rPr>
          <w:rStyle w:val="Refdenotaalpie"/>
          <w:rFonts w:ascii="Verdana" w:hAnsi="Verdana"/>
          <w:i w:val="0"/>
          <w:iCs/>
          <w:sz w:val="16"/>
          <w:szCs w:val="16"/>
        </w:rPr>
        <w:footnoteRef/>
      </w:r>
      <w:r w:rsidRPr="00E12B47">
        <w:rPr>
          <w:rFonts w:ascii="Verdana" w:hAnsi="Verdana"/>
          <w:i w:val="0"/>
          <w:iCs/>
          <w:sz w:val="16"/>
          <w:szCs w:val="16"/>
        </w:rPr>
        <w:t xml:space="preserve"> </w:t>
      </w:r>
      <w:r w:rsidRPr="00E12B47">
        <w:rPr>
          <w:rFonts w:ascii="Verdana" w:hAnsi="Verdana"/>
          <w:i w:val="0"/>
          <w:sz w:val="16"/>
          <w:szCs w:val="16"/>
        </w:rPr>
        <w:t>Que adiciona el Título 5 a la Parte 11 del Libro 2 del Decreto 1068 de 2015, Decreto Único Reglamentario del Sector Hacienda y Crédito Público.</w:t>
      </w:r>
    </w:p>
    <w:p w14:paraId="76320A72" w14:textId="3B8EABA0" w:rsidR="00657082" w:rsidRPr="00657082" w:rsidRDefault="00657082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76E2" w14:textId="5B75776A" w:rsidR="009B02E7" w:rsidRDefault="009B02E7" w:rsidP="00C64ECE">
    <w:pPr>
      <w:pStyle w:val="Encabezado"/>
      <w:ind w:left="-709" w:right="-942"/>
    </w:pPr>
  </w:p>
  <w:p w14:paraId="477F0E57" w14:textId="4473104C" w:rsidR="009B02E7" w:rsidRDefault="006E5D83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700224" behindDoc="0" locked="0" layoutInCell="1" allowOverlap="1" wp14:anchorId="62F0ABB6" wp14:editId="181AA550">
          <wp:simplePos x="0" y="0"/>
          <wp:positionH relativeFrom="column">
            <wp:posOffset>1815465</wp:posOffset>
          </wp:positionH>
          <wp:positionV relativeFrom="paragraph">
            <wp:posOffset>5715</wp:posOffset>
          </wp:positionV>
          <wp:extent cx="2161905" cy="971429"/>
          <wp:effectExtent l="0" t="0" r="0" b="635"/>
          <wp:wrapThrough wrapText="bothSides">
            <wp:wrapPolygon edited="0">
              <wp:start x="0" y="0"/>
              <wp:lineTo x="0" y="21190"/>
              <wp:lineTo x="21321" y="21190"/>
              <wp:lineTo x="213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905" cy="97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60834" w14:textId="77777777" w:rsidR="009B02E7" w:rsidRDefault="009B02E7" w:rsidP="00C64ECE">
    <w:pPr>
      <w:pStyle w:val="Encabezado"/>
      <w:ind w:left="-709" w:right="-942"/>
    </w:pPr>
  </w:p>
  <w:p w14:paraId="2F85A29C" w14:textId="6F686D00" w:rsidR="009B02E7" w:rsidRDefault="009B02E7" w:rsidP="00C64ECE">
    <w:pPr>
      <w:pStyle w:val="Encabezado"/>
      <w:ind w:left="-709" w:right="-942"/>
    </w:pPr>
  </w:p>
  <w:p w14:paraId="34BC0DEB" w14:textId="4C854CC5" w:rsidR="009B02E7" w:rsidRDefault="009B02E7" w:rsidP="00C64ECE">
    <w:pPr>
      <w:pStyle w:val="Encabezado"/>
      <w:ind w:left="-709" w:right="-942"/>
    </w:pPr>
  </w:p>
  <w:p w14:paraId="15B09DF0" w14:textId="33A7BE01" w:rsidR="00B16792" w:rsidRDefault="00B16792" w:rsidP="00C64ECE">
    <w:pPr>
      <w:pStyle w:val="Encabezado"/>
      <w:ind w:left="-709" w:right="-942"/>
    </w:pPr>
  </w:p>
  <w:p w14:paraId="45310095" w14:textId="03F03444" w:rsidR="00B16792" w:rsidRDefault="00B16792" w:rsidP="00C64ECE">
    <w:pPr>
      <w:pStyle w:val="Encabezado"/>
      <w:ind w:left="-709" w:right="-942"/>
    </w:pPr>
  </w:p>
  <w:p w14:paraId="5BDF259B" w14:textId="18A453C0" w:rsidR="00C64ECE" w:rsidRDefault="00C64ECE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1178D08" w14:textId="7A60220D" w:rsidR="000F7FD7" w:rsidRDefault="001D5C40">
    <w:pPr>
      <w:ind w:right="-59"/>
      <w:rPr>
        <w:rStyle w:val="Nmerodepgina"/>
        <w:rFonts w:cs="Arial"/>
        <w:iCs/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7" w:name="numassigned_2"/>
    <w:r w:rsidR="000F7FD7">
      <w:rPr>
        <w:bCs/>
        <w:sz w:val="18"/>
        <w:szCs w:val="18"/>
        <w:lang w:val="es-ES_tradnl"/>
      </w:rPr>
      <w:t xml:space="preserve">  </w:t>
    </w:r>
    <w:bookmarkEnd w:id="7"/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  <w:p w14:paraId="55074AAD" w14:textId="77777777" w:rsidR="00174789" w:rsidRDefault="00174789">
    <w:pPr>
      <w:ind w:right="-59"/>
      <w:rPr>
        <w:rStyle w:val="Nmerodepgina"/>
        <w:rFonts w:cs="Arial"/>
        <w:iCs/>
        <w:sz w:val="18"/>
        <w:szCs w:val="18"/>
      </w:rPr>
    </w:pPr>
  </w:p>
  <w:p w14:paraId="6C2A3301" w14:textId="77777777" w:rsidR="00657082" w:rsidRDefault="00657082">
    <w:pPr>
      <w:ind w:right="-5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0911" w14:textId="3912F545" w:rsidR="00B868AF" w:rsidRDefault="00B868AF" w:rsidP="003C3D0E">
    <w:pPr>
      <w:pStyle w:val="Encabezado"/>
      <w:ind w:left="-1701" w:right="-942"/>
    </w:pPr>
    <w:r>
      <w:t xml:space="preserve">                                                                         </w:t>
    </w:r>
  </w:p>
  <w:p w14:paraId="4385C11E" w14:textId="275826AB" w:rsidR="000F7FD7" w:rsidRDefault="000F7FD7" w:rsidP="00EC3A42">
    <w:pPr>
      <w:pStyle w:val="Ttulo1"/>
      <w:rPr>
        <w:sz w:val="22"/>
        <w:szCs w:val="22"/>
      </w:rPr>
    </w:pPr>
  </w:p>
  <w:p w14:paraId="7BD03659" w14:textId="7DC1F86D" w:rsidR="006E5D83" w:rsidRDefault="006E5D83" w:rsidP="006E5D83"/>
  <w:p w14:paraId="156476CB" w14:textId="6A5A9527" w:rsidR="006E5D83" w:rsidRDefault="006E5D83" w:rsidP="006E5D83">
    <w:r>
      <w:rPr>
        <w:noProof/>
        <w:lang w:eastAsia="es-CO"/>
      </w:rPr>
      <w:drawing>
        <wp:anchor distT="0" distB="0" distL="114300" distR="114300" simplePos="0" relativeHeight="251697152" behindDoc="0" locked="0" layoutInCell="1" allowOverlap="1" wp14:anchorId="34C7000C" wp14:editId="605ED0ED">
          <wp:simplePos x="0" y="0"/>
          <wp:positionH relativeFrom="column">
            <wp:posOffset>1815465</wp:posOffset>
          </wp:positionH>
          <wp:positionV relativeFrom="paragraph">
            <wp:posOffset>155575</wp:posOffset>
          </wp:positionV>
          <wp:extent cx="2161540" cy="970915"/>
          <wp:effectExtent l="0" t="0" r="0" b="635"/>
          <wp:wrapThrough wrapText="bothSides">
            <wp:wrapPolygon edited="0">
              <wp:start x="0" y="0"/>
              <wp:lineTo x="0" y="21190"/>
              <wp:lineTo x="21321" y="21190"/>
              <wp:lineTo x="2132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54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B69E94" w14:textId="78E7A966" w:rsidR="006E5D83" w:rsidRDefault="006E5D83" w:rsidP="006E5D83"/>
  <w:p w14:paraId="7650B28A" w14:textId="4CADD5F0" w:rsidR="006E5D83" w:rsidRDefault="006E5D83" w:rsidP="006E5D83"/>
  <w:p w14:paraId="3D79A6C8" w14:textId="31BA7751" w:rsidR="006E5D83" w:rsidRDefault="006E5D83" w:rsidP="006E5D83"/>
  <w:p w14:paraId="42FF98E7" w14:textId="089D77A1" w:rsidR="006E5D83" w:rsidRDefault="006E5D83" w:rsidP="006E5D83"/>
  <w:p w14:paraId="1C0300CE" w14:textId="3A42A3D8" w:rsidR="006E5D83" w:rsidRDefault="006E5D83" w:rsidP="006E5D83"/>
  <w:p w14:paraId="29947A79" w14:textId="402B481A" w:rsidR="006E5D83" w:rsidRDefault="006E5D83" w:rsidP="006E5D83"/>
  <w:p w14:paraId="5779E69C" w14:textId="7A90CE5A" w:rsidR="006E5D83" w:rsidRPr="005806F8" w:rsidRDefault="006E5D83" w:rsidP="006E5D83">
    <w:pPr>
      <w:rPr>
        <w:rFonts w:ascii="Verdana" w:hAnsi="Verdana"/>
      </w:rPr>
    </w:pPr>
  </w:p>
  <w:p w14:paraId="2049512D" w14:textId="77777777" w:rsidR="006E5D83" w:rsidRPr="005806F8" w:rsidRDefault="006E5D83" w:rsidP="006E5D83">
    <w:pPr>
      <w:rPr>
        <w:rFonts w:ascii="Verdana" w:hAnsi="Verdana"/>
      </w:rPr>
    </w:pPr>
  </w:p>
  <w:p w14:paraId="7D4E841F" w14:textId="77777777" w:rsidR="00EC3A42" w:rsidRPr="005806F8" w:rsidRDefault="00EC3A42" w:rsidP="00EC3A42">
    <w:pPr>
      <w:pStyle w:val="Ttulo1"/>
      <w:jc w:val="center"/>
      <w:rPr>
        <w:rFonts w:ascii="Verdana" w:hAnsi="Verdana"/>
        <w:sz w:val="28"/>
        <w:szCs w:val="28"/>
      </w:rPr>
    </w:pPr>
    <w:r w:rsidRPr="005806F8">
      <w:rPr>
        <w:rFonts w:ascii="Verdana" w:hAnsi="Verdana"/>
        <w:sz w:val="28"/>
        <w:szCs w:val="28"/>
      </w:rPr>
      <w:t>CIRCULAR EXTERNA No.</w:t>
    </w:r>
    <w:r w:rsidR="00AD1E04" w:rsidRPr="005806F8">
      <w:rPr>
        <w:rFonts w:ascii="Verdana" w:hAnsi="Verdana"/>
        <w:noProof/>
        <w:lang w:val="es-ES" w:eastAsia="es-ES"/>
      </w:rPr>
      <w:t xml:space="preserve"> </w:t>
    </w:r>
    <w:r w:rsidRPr="005806F8">
      <w:rPr>
        <w:rFonts w:ascii="Verdana" w:hAnsi="Verdana"/>
        <w:sz w:val="28"/>
        <w:szCs w:val="28"/>
      </w:rPr>
      <w:t xml:space="preserve"> </w:t>
    </w:r>
    <w:bookmarkStart w:id="8" w:name="numassigned"/>
    <w:r w:rsidRPr="005806F8">
      <w:rPr>
        <w:rFonts w:ascii="Verdana" w:hAnsi="Verdana"/>
        <w:sz w:val="28"/>
        <w:szCs w:val="28"/>
      </w:rPr>
      <w:t xml:space="preserve">  </w:t>
    </w:r>
    <w:bookmarkEnd w:id="8"/>
  </w:p>
  <w:p w14:paraId="482F8C80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p w14:paraId="632DF26C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1"/>
      <w:gridCol w:w="7602"/>
    </w:tblGrid>
    <w:tr w:rsidR="00EC3A42" w:rsidRPr="005806F8" w14:paraId="54368F7E" w14:textId="77777777" w:rsidTr="00DD2F81">
      <w:tc>
        <w:tcPr>
          <w:tcW w:w="1526" w:type="dxa"/>
        </w:tcPr>
        <w:p w14:paraId="74BA16F6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484B5D15" w14:textId="77777777" w:rsidR="00EC3A42" w:rsidRDefault="001D5C40" w:rsidP="00400429">
          <w:pPr>
            <w:jc w:val="both"/>
            <w:rPr>
              <w:rFonts w:ascii="Verdana" w:hAnsi="Verdana"/>
              <w:b/>
              <w:bCs/>
              <w:i w:val="0"/>
              <w:sz w:val="22"/>
              <w:szCs w:val="22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REPRESENTANTES LEGALES Y MIEMBROS DE LOS ÓRGANOS DE ADMINISTRACIÓN Y CONTROL DE LAS EMPRESAS SOLIDARIAS SUPERVISADAS</w:t>
          </w:r>
        </w:p>
        <w:p w14:paraId="220FD3A1" w14:textId="49F7F3A8" w:rsidR="00400429" w:rsidRPr="005806F8" w:rsidRDefault="00400429" w:rsidP="00EC3A42">
          <w:pPr>
            <w:rPr>
              <w:rFonts w:ascii="Verdana" w:hAnsi="Verdana"/>
              <w:b/>
              <w:bCs/>
              <w:i w:val="0"/>
            </w:rPr>
          </w:pPr>
        </w:p>
      </w:tc>
    </w:tr>
    <w:tr w:rsidR="00EC3A42" w:rsidRPr="005806F8" w14:paraId="009171FD" w14:textId="77777777" w:rsidTr="00DD2F81">
      <w:tc>
        <w:tcPr>
          <w:tcW w:w="1526" w:type="dxa"/>
        </w:tcPr>
        <w:p w14:paraId="4C2BC3F7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17A94BC5" w14:textId="77777777" w:rsidR="00EC3A42" w:rsidRDefault="001D5C40" w:rsidP="00EC3A42">
          <w:pPr>
            <w:rPr>
              <w:rFonts w:ascii="Verdana" w:hAnsi="Verdana"/>
              <w:b/>
              <w:bCs/>
              <w:i w:val="0"/>
              <w:sz w:val="22"/>
              <w:szCs w:val="22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SUPERINTENDENTA DE LA ECONOMÍA SOLIDARIA </w:t>
          </w:r>
        </w:p>
        <w:p w14:paraId="4609C9D9" w14:textId="0E3EBB6F" w:rsidR="00400429" w:rsidRPr="005806F8" w:rsidRDefault="00400429" w:rsidP="00EC3A42">
          <w:pPr>
            <w:rPr>
              <w:rFonts w:ascii="Verdana" w:hAnsi="Verdana"/>
              <w:b/>
              <w:bCs/>
              <w:i w:val="0"/>
            </w:rPr>
          </w:pPr>
        </w:p>
      </w:tc>
    </w:tr>
    <w:tr w:rsidR="00EC3A42" w:rsidRPr="005806F8" w14:paraId="1B967028" w14:textId="77777777" w:rsidTr="00DD2F81">
      <w:tc>
        <w:tcPr>
          <w:tcW w:w="1526" w:type="dxa"/>
        </w:tcPr>
        <w:p w14:paraId="66CE9674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470E62AA" w14:textId="39907C8D" w:rsidR="00EC3A42" w:rsidRDefault="001D5C40" w:rsidP="00400429">
          <w:pPr>
            <w:jc w:val="both"/>
            <w:rPr>
              <w:rFonts w:ascii="Verdana" w:hAnsi="Verdana"/>
              <w:b/>
              <w:bCs/>
              <w:i w:val="0"/>
              <w:sz w:val="22"/>
              <w:szCs w:val="22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PRESENTACIÓN DE LA GUÍA PARA LA IMPLEMENTACIÓN DE MEJORES PRÁCTICAS DE BUEN GOBIERNO PARA EMPRESAS SOLIDARIAS SUPERVISADAS POR LA SUPERINTENDENCIA DE ECONOMÍA SOLIDARIA E INSTRUCCIONES PARA SU IMPLEMENTACIÓN</w:t>
          </w:r>
        </w:p>
        <w:p w14:paraId="1E6ECC0A" w14:textId="54CC921E" w:rsidR="00400429" w:rsidRPr="005806F8" w:rsidRDefault="00400429" w:rsidP="00EC3A42">
          <w:pPr>
            <w:rPr>
              <w:rFonts w:ascii="Verdana" w:hAnsi="Verdana"/>
              <w:b/>
              <w:bCs/>
              <w:i w:val="0"/>
            </w:rPr>
          </w:pPr>
        </w:p>
      </w:tc>
    </w:tr>
    <w:tr w:rsidR="00EC3A42" w:rsidRPr="005806F8" w14:paraId="0074D0B9" w14:textId="77777777" w:rsidTr="00DD2F81">
      <w:tc>
        <w:tcPr>
          <w:tcW w:w="1526" w:type="dxa"/>
        </w:tcPr>
        <w:p w14:paraId="75595DCF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0070BFA5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Bogotá D.C., </w:t>
          </w:r>
          <w:bookmarkStart w:id="9" w:name="fecassignedlong"/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  </w:t>
          </w:r>
          <w:bookmarkEnd w:id="9"/>
        </w:p>
      </w:tc>
    </w:tr>
  </w:tbl>
  <w:p w14:paraId="1C77EA07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p w14:paraId="3F59E2F3" w14:textId="77777777" w:rsidR="00EC3A42" w:rsidRPr="005806F8" w:rsidRDefault="00073528" w:rsidP="00EC3A42">
    <w:pPr>
      <w:rPr>
        <w:rFonts w:ascii="Verdana" w:hAnsi="Verdana"/>
        <w:b/>
        <w:bCs/>
        <w:i w:val="0"/>
        <w:sz w:val="22"/>
        <w:szCs w:val="22"/>
      </w:rPr>
    </w:pPr>
    <w:r w:rsidRPr="005806F8">
      <w:rPr>
        <w:rFonts w:ascii="Verdana" w:hAnsi="Verdana"/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6915A"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" strokeweight="4.5pt">
              <v:stroke linestyle="thinThick"/>
              <w10:wrap type="topAndBottom"/>
            </v:line>
          </w:pict>
        </mc:Fallback>
      </mc:AlternateContent>
    </w:r>
  </w:p>
  <w:p w14:paraId="76644BA5" w14:textId="49E87D20" w:rsidR="00EC3A42" w:rsidRPr="005806F8" w:rsidRDefault="00EC3A42" w:rsidP="00EC3A42">
    <w:pPr>
      <w:ind w:right="-59"/>
      <w:rPr>
        <w:rFonts w:ascii="Verdana" w:hAnsi="Verdana"/>
        <w:bCs/>
        <w:sz w:val="18"/>
        <w:szCs w:val="18"/>
        <w:lang w:val="es-ES_tradnl"/>
      </w:rPr>
    </w:pPr>
  </w:p>
  <w:p w14:paraId="00B6E67E" w14:textId="5BD56A3D" w:rsidR="00EC3A42" w:rsidRPr="005806F8" w:rsidRDefault="001D5C40" w:rsidP="00EC3A42">
    <w:pPr>
      <w:ind w:right="-59"/>
      <w:rPr>
        <w:rFonts w:ascii="Verdana" w:hAnsi="Verdana"/>
        <w:sz w:val="18"/>
        <w:szCs w:val="18"/>
      </w:rPr>
    </w:pPr>
    <w:r>
      <w:rPr>
        <w:rFonts w:ascii="Verdana" w:hAnsi="Verdana"/>
        <w:bCs/>
        <w:sz w:val="18"/>
        <w:szCs w:val="18"/>
        <w:lang w:val="es-ES_tradnl"/>
      </w:rPr>
      <w:t>100</w:t>
    </w:r>
    <w:r w:rsidR="00EC3A42" w:rsidRPr="005806F8">
      <w:rPr>
        <w:rFonts w:ascii="Verdana" w:hAnsi="Verdana"/>
        <w:bCs/>
        <w:sz w:val="18"/>
        <w:szCs w:val="18"/>
        <w:lang w:val="es-ES_tradnl"/>
      </w:rPr>
      <w:t xml:space="preserve"> - Circular Externa No. </w:t>
    </w:r>
    <w:bookmarkStart w:id="10" w:name="numassigned_1"/>
    <w:r w:rsidR="00EC3A42" w:rsidRPr="005806F8">
      <w:rPr>
        <w:rFonts w:ascii="Verdana" w:hAnsi="Verdana"/>
        <w:bCs/>
        <w:sz w:val="18"/>
        <w:szCs w:val="18"/>
        <w:lang w:val="es-ES_tradnl"/>
      </w:rPr>
      <w:t xml:space="preserve">  </w:t>
    </w:r>
    <w:bookmarkEnd w:id="10"/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t xml:space="preserve">Página 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begin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instrText xml:space="preserve"> PAGE </w:instrTex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separate"/>
    </w:r>
    <w:r w:rsidR="0066566A" w:rsidRPr="005806F8">
      <w:rPr>
        <w:rStyle w:val="Nmerodepgina"/>
        <w:rFonts w:ascii="Verdana" w:hAnsi="Verdana" w:cs="Arial"/>
        <w:iCs/>
        <w:noProof/>
        <w:sz w:val="18"/>
        <w:szCs w:val="18"/>
      </w:rPr>
      <w:t>1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end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t xml:space="preserve"> de 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begin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instrText xml:space="preserve"> NUMPAGES </w:instrTex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separate"/>
    </w:r>
    <w:r w:rsidR="0066566A" w:rsidRPr="005806F8">
      <w:rPr>
        <w:rStyle w:val="Nmerodepgina"/>
        <w:rFonts w:ascii="Verdana" w:hAnsi="Verdana" w:cs="Arial"/>
        <w:iCs/>
        <w:noProof/>
        <w:sz w:val="18"/>
        <w:szCs w:val="18"/>
      </w:rPr>
      <w:t>1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end"/>
    </w:r>
  </w:p>
  <w:p w14:paraId="03B51278" w14:textId="72B3BAFE" w:rsidR="000F7FD7" w:rsidRDefault="000F7FD7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1A"/>
    <w:rsid w:val="00006165"/>
    <w:rsid w:val="0001093F"/>
    <w:rsid w:val="000315A7"/>
    <w:rsid w:val="00070BC6"/>
    <w:rsid w:val="00073528"/>
    <w:rsid w:val="00090BFD"/>
    <w:rsid w:val="0009535C"/>
    <w:rsid w:val="000954A0"/>
    <w:rsid w:val="000966A4"/>
    <w:rsid w:val="000977CF"/>
    <w:rsid w:val="000B1429"/>
    <w:rsid w:val="000C0C1F"/>
    <w:rsid w:val="000D02DD"/>
    <w:rsid w:val="000E2344"/>
    <w:rsid w:val="000E4ECE"/>
    <w:rsid w:val="000F7FD7"/>
    <w:rsid w:val="0016084B"/>
    <w:rsid w:val="001677C9"/>
    <w:rsid w:val="00174789"/>
    <w:rsid w:val="001B2992"/>
    <w:rsid w:val="001B6D00"/>
    <w:rsid w:val="001C65B7"/>
    <w:rsid w:val="001C7247"/>
    <w:rsid w:val="001D2B49"/>
    <w:rsid w:val="001D5C40"/>
    <w:rsid w:val="00203587"/>
    <w:rsid w:val="00254439"/>
    <w:rsid w:val="0026227A"/>
    <w:rsid w:val="0026518F"/>
    <w:rsid w:val="0028184C"/>
    <w:rsid w:val="002829D6"/>
    <w:rsid w:val="00285323"/>
    <w:rsid w:val="00291540"/>
    <w:rsid w:val="003035F4"/>
    <w:rsid w:val="00325493"/>
    <w:rsid w:val="00325A55"/>
    <w:rsid w:val="003563C1"/>
    <w:rsid w:val="00356E72"/>
    <w:rsid w:val="00390900"/>
    <w:rsid w:val="003A3492"/>
    <w:rsid w:val="003C3D0E"/>
    <w:rsid w:val="003D61CC"/>
    <w:rsid w:val="003E3473"/>
    <w:rsid w:val="003E6DAB"/>
    <w:rsid w:val="00400429"/>
    <w:rsid w:val="0041110A"/>
    <w:rsid w:val="00420671"/>
    <w:rsid w:val="00425E2C"/>
    <w:rsid w:val="00461C9B"/>
    <w:rsid w:val="004A0367"/>
    <w:rsid w:val="004A6F22"/>
    <w:rsid w:val="004D23D7"/>
    <w:rsid w:val="004D7D98"/>
    <w:rsid w:val="004F507D"/>
    <w:rsid w:val="00507BF0"/>
    <w:rsid w:val="00522339"/>
    <w:rsid w:val="00546DC4"/>
    <w:rsid w:val="005806F8"/>
    <w:rsid w:val="005E5D43"/>
    <w:rsid w:val="006164C0"/>
    <w:rsid w:val="0065307B"/>
    <w:rsid w:val="00657082"/>
    <w:rsid w:val="006646E0"/>
    <w:rsid w:val="0066566A"/>
    <w:rsid w:val="00680C7A"/>
    <w:rsid w:val="00696F6D"/>
    <w:rsid w:val="006A1B4A"/>
    <w:rsid w:val="006A4EE0"/>
    <w:rsid w:val="006B2104"/>
    <w:rsid w:val="006E5D83"/>
    <w:rsid w:val="007060DD"/>
    <w:rsid w:val="007428BE"/>
    <w:rsid w:val="007611E6"/>
    <w:rsid w:val="00773ACA"/>
    <w:rsid w:val="007922E4"/>
    <w:rsid w:val="007B0A34"/>
    <w:rsid w:val="007C178A"/>
    <w:rsid w:val="007F6590"/>
    <w:rsid w:val="008100C1"/>
    <w:rsid w:val="0082573D"/>
    <w:rsid w:val="008563F9"/>
    <w:rsid w:val="00857C4C"/>
    <w:rsid w:val="008731A8"/>
    <w:rsid w:val="00883F53"/>
    <w:rsid w:val="00921409"/>
    <w:rsid w:val="0098441A"/>
    <w:rsid w:val="009B02E7"/>
    <w:rsid w:val="009B5897"/>
    <w:rsid w:val="009C7158"/>
    <w:rsid w:val="009F476E"/>
    <w:rsid w:val="00A04A27"/>
    <w:rsid w:val="00A07251"/>
    <w:rsid w:val="00A2658D"/>
    <w:rsid w:val="00A671E6"/>
    <w:rsid w:val="00AD1E04"/>
    <w:rsid w:val="00AD5A52"/>
    <w:rsid w:val="00AE55E9"/>
    <w:rsid w:val="00B16792"/>
    <w:rsid w:val="00B62C65"/>
    <w:rsid w:val="00B730EC"/>
    <w:rsid w:val="00B868AF"/>
    <w:rsid w:val="00B9068E"/>
    <w:rsid w:val="00BB6319"/>
    <w:rsid w:val="00BD17A4"/>
    <w:rsid w:val="00BF3EC9"/>
    <w:rsid w:val="00BF4A5A"/>
    <w:rsid w:val="00C64ECE"/>
    <w:rsid w:val="00CA55A0"/>
    <w:rsid w:val="00CF5F53"/>
    <w:rsid w:val="00D52E5D"/>
    <w:rsid w:val="00DC43DE"/>
    <w:rsid w:val="00DD334C"/>
    <w:rsid w:val="00E12B47"/>
    <w:rsid w:val="00E20347"/>
    <w:rsid w:val="00E7790F"/>
    <w:rsid w:val="00EB7284"/>
    <w:rsid w:val="00EC3A42"/>
    <w:rsid w:val="00F14086"/>
    <w:rsid w:val="00F3485A"/>
    <w:rsid w:val="00F46734"/>
    <w:rsid w:val="00FA17E0"/>
    <w:rsid w:val="00FA2E8D"/>
    <w:rsid w:val="00FC3503"/>
    <w:rsid w:val="00FD757D"/>
    <w:rsid w:val="00FE2679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  <w15:docId w15:val="{FAF16DC5-F27F-4541-B876-5B5F218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70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7082"/>
    <w:rPr>
      <w:rFonts w:ascii="Arial" w:hAnsi="Arial" w:cs="Arial"/>
      <w:i/>
      <w:sz w:val="20"/>
      <w:szCs w:val="20"/>
      <w:lang w:val="es-CO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657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ceres@supersolidaria.gov.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osada@supersolidari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uarte@supersolidaria.gov.c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0DFE-4F1B-4FEA-8A69-F926834A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Laura Sofia Prada Cardoso</cp:lastModifiedBy>
  <cp:revision>12</cp:revision>
  <cp:lastPrinted>2007-11-17T22:44:00Z</cp:lastPrinted>
  <dcterms:created xsi:type="dcterms:W3CDTF">2024-07-17T21:21:00Z</dcterms:created>
  <dcterms:modified xsi:type="dcterms:W3CDTF">2025-07-14T19:31:00Z</dcterms:modified>
</cp:coreProperties>
</file>