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0DEADD" w14:textId="77777777" w:rsidR="00B730EC" w:rsidRPr="003F18AD" w:rsidRDefault="00B730EC">
      <w:pPr>
        <w:jc w:val="both"/>
        <w:rPr>
          <w:rFonts w:ascii="Tahoma" w:hAnsi="Tahoma" w:cs="Tahoma"/>
          <w:i w:val="0"/>
          <w:iCs/>
          <w:sz w:val="22"/>
          <w:szCs w:val="22"/>
          <w:lang w:val="es-MX"/>
        </w:rPr>
      </w:pPr>
    </w:p>
    <w:p w14:paraId="7000DBDF" w14:textId="77777777" w:rsidR="0039421E" w:rsidRPr="003F18AD" w:rsidRDefault="0039421E" w:rsidP="0039421E">
      <w:pPr>
        <w:pStyle w:val="Prrafodelista"/>
        <w:spacing w:before="100" w:beforeAutospacing="1" w:after="100" w:afterAutospacing="1" w:line="100" w:lineRule="atLeast"/>
        <w:ind w:left="0"/>
        <w:jc w:val="both"/>
        <w:rPr>
          <w:rFonts w:ascii="Tahoma" w:eastAsia="Times New Roman" w:hAnsi="Tahoma" w:cs="Tahoma"/>
          <w:iCs/>
          <w:lang w:eastAsia="ar-SA"/>
        </w:rPr>
      </w:pPr>
      <w:r w:rsidRPr="003F18AD">
        <w:rPr>
          <w:rFonts w:ascii="Tahoma" w:hAnsi="Tahoma" w:cs="Tahoma"/>
        </w:rPr>
        <w:t>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w:t>
      </w:r>
      <w:r w:rsidRPr="003F18AD">
        <w:rPr>
          <w:rFonts w:ascii="Tahoma" w:eastAsia="Times New Roman" w:hAnsi="Tahoma" w:cs="Tahoma"/>
          <w:iCs/>
          <w:lang w:eastAsia="ar-SA"/>
        </w:rPr>
        <w:t xml:space="preserve"> </w:t>
      </w:r>
    </w:p>
    <w:p w14:paraId="6BFFF8DD" w14:textId="77777777" w:rsidR="0039421E" w:rsidRPr="003F18AD" w:rsidRDefault="0039421E" w:rsidP="0039421E">
      <w:pPr>
        <w:pStyle w:val="Prrafodelista"/>
        <w:spacing w:before="100" w:beforeAutospacing="1" w:after="100" w:afterAutospacing="1" w:line="100" w:lineRule="atLeast"/>
        <w:ind w:left="0"/>
        <w:jc w:val="both"/>
        <w:rPr>
          <w:rFonts w:ascii="Tahoma" w:eastAsia="Times New Roman" w:hAnsi="Tahoma" w:cs="Tahoma"/>
          <w:iCs/>
          <w:lang w:eastAsia="ar-SA"/>
        </w:rPr>
      </w:pPr>
    </w:p>
    <w:p w14:paraId="55FB240E" w14:textId="77777777" w:rsidR="0039421E" w:rsidRPr="003F18AD" w:rsidRDefault="0039421E" w:rsidP="0039421E">
      <w:pPr>
        <w:pStyle w:val="Prrafodelista"/>
        <w:spacing w:before="100" w:beforeAutospacing="1" w:after="100" w:afterAutospacing="1" w:line="100" w:lineRule="atLeast"/>
        <w:ind w:left="0"/>
        <w:jc w:val="both"/>
        <w:rPr>
          <w:rFonts w:ascii="Tahoma" w:eastAsia="Times New Roman" w:hAnsi="Tahoma" w:cs="Tahoma"/>
          <w:iCs/>
          <w:lang w:eastAsia="ar-SA"/>
        </w:rPr>
      </w:pPr>
      <w:r w:rsidRPr="003F18AD">
        <w:rPr>
          <w:rFonts w:ascii="Tahoma" w:eastAsia="Times New Roman" w:hAnsi="Tahoma" w:cs="Tahoma"/>
          <w:iCs/>
          <w:lang w:eastAsia="ar-SA"/>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1EA30AF9" w14:textId="77777777" w:rsidR="0039421E" w:rsidRPr="003F18AD" w:rsidRDefault="0039421E" w:rsidP="0039421E">
      <w:pPr>
        <w:pStyle w:val="Prrafodelista"/>
        <w:spacing w:before="100" w:beforeAutospacing="1" w:after="100" w:afterAutospacing="1" w:line="100" w:lineRule="atLeast"/>
        <w:ind w:left="0"/>
        <w:jc w:val="both"/>
        <w:rPr>
          <w:rFonts w:ascii="Tahoma" w:eastAsia="Times New Roman" w:hAnsi="Tahoma" w:cs="Tahoma"/>
          <w:iCs/>
          <w:lang w:eastAsia="ar-SA"/>
        </w:rPr>
      </w:pPr>
    </w:p>
    <w:p w14:paraId="6FE8BCC9" w14:textId="77777777" w:rsidR="0039421E" w:rsidRPr="003F18AD" w:rsidRDefault="0039421E" w:rsidP="0039421E">
      <w:pPr>
        <w:pStyle w:val="Prrafodelista"/>
        <w:spacing w:before="100" w:beforeAutospacing="1" w:after="100" w:afterAutospacing="1" w:line="100" w:lineRule="atLeast"/>
        <w:ind w:left="0"/>
        <w:jc w:val="both"/>
        <w:rPr>
          <w:rFonts w:ascii="Tahoma" w:eastAsia="Times New Roman" w:hAnsi="Tahoma" w:cs="Tahoma"/>
          <w:iCs/>
          <w:lang w:eastAsia="ar-SA"/>
        </w:rPr>
      </w:pPr>
      <w:r w:rsidRPr="003F18AD">
        <w:rPr>
          <w:rFonts w:ascii="Tahoma" w:hAnsi="Tahoma" w:cs="Tahoma"/>
        </w:rPr>
        <w:t>Además, en virtud del artículo 36 de la misma ley, son funciones de la Superintendencia de la Economía Solidaria, entre otras, las señaladas en el numeral 22, que establece</w:t>
      </w:r>
      <w:r w:rsidRPr="003F18AD">
        <w:rPr>
          <w:rFonts w:ascii="Tahoma" w:eastAsia="Times New Roman" w:hAnsi="Tahoma" w:cs="Tahoma"/>
          <w:iCs/>
          <w:lang w:eastAsia="ar-SA"/>
        </w:rPr>
        <w:t>:</w:t>
      </w:r>
    </w:p>
    <w:p w14:paraId="4E9F4C0D" w14:textId="77777777" w:rsidR="0039421E" w:rsidRPr="003F18AD" w:rsidRDefault="0039421E" w:rsidP="0039421E">
      <w:pPr>
        <w:pStyle w:val="Prrafodelista"/>
        <w:spacing w:before="100" w:beforeAutospacing="1" w:after="100" w:afterAutospacing="1" w:line="100" w:lineRule="atLeast"/>
        <w:ind w:left="0"/>
        <w:jc w:val="both"/>
        <w:rPr>
          <w:rFonts w:ascii="Tahoma" w:eastAsia="Times New Roman" w:hAnsi="Tahoma" w:cs="Tahoma"/>
          <w:iCs/>
          <w:lang w:eastAsia="ar-SA"/>
        </w:rPr>
      </w:pPr>
    </w:p>
    <w:p w14:paraId="094DF142" w14:textId="1E1F92E1" w:rsidR="0039421E" w:rsidRPr="003F18AD" w:rsidRDefault="0039421E" w:rsidP="003F18AD">
      <w:pPr>
        <w:pStyle w:val="Prrafodelista"/>
        <w:spacing w:before="100" w:beforeAutospacing="1" w:after="100" w:afterAutospacing="1" w:line="100" w:lineRule="atLeast"/>
        <w:ind w:left="708"/>
        <w:jc w:val="both"/>
        <w:rPr>
          <w:rFonts w:ascii="Tahoma" w:hAnsi="Tahoma" w:cs="Tahoma"/>
          <w:iCs/>
          <w:color w:val="222222"/>
          <w:shd w:val="clear" w:color="auto" w:fill="FFFFFF"/>
        </w:rPr>
      </w:pPr>
      <w:r w:rsidRPr="003F18AD">
        <w:rPr>
          <w:rFonts w:ascii="Tahoma" w:hAnsi="Tahoma" w:cs="Tahoma"/>
          <w:i/>
          <w:color w:val="222222"/>
          <w:shd w:val="clear" w:color="auto" w:fill="FFFFFF"/>
        </w:rPr>
        <w:t>“Instruir a las instituciones vigiladas sobre la manera como deben cumplirse las disposiciones que rigen su actividad, fijar los criterios técnicos y jurídicos que faciliten el cumplimiento de tales normas y señalar los procedimientos para su cabal aplicación.”</w:t>
      </w:r>
      <w:r w:rsidRPr="003F18AD">
        <w:rPr>
          <w:rFonts w:ascii="Tahoma" w:hAnsi="Tahoma" w:cs="Tahoma"/>
          <w:iCs/>
          <w:color w:val="222222"/>
          <w:shd w:val="clear" w:color="auto" w:fill="FFFFFF"/>
        </w:rPr>
        <w:t xml:space="preserve"> </w:t>
      </w:r>
    </w:p>
    <w:p w14:paraId="0E2D1DF0"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3E365060"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 xml:space="preserve">En cumplimiento de esta función, la Superintendencia de la Economía Solidaria puede instruir a las empresas solidarias sujetas a su inspección, vigilancia y control a través de Circulares </w:t>
      </w:r>
      <w:r w:rsidRPr="003F18AD">
        <w:rPr>
          <w:rFonts w:ascii="Tahoma" w:hAnsi="Tahoma" w:cs="Tahoma"/>
          <w:iCs/>
          <w:color w:val="222222"/>
          <w:shd w:val="clear" w:color="auto" w:fill="FFFFFF"/>
        </w:rPr>
        <w:lastRenderedPageBreak/>
        <w:t xml:space="preserve">Administrativas, las cuales, según los efectos que producen, son consideradas actos administrativos. </w:t>
      </w:r>
    </w:p>
    <w:p w14:paraId="44B64C0A"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208FFB52"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 xml:space="preserve">En consecuencia, en ejercicio de la facultad de instruir del artículo 36, la Supersolidaria expidió la Circular Básica Jurídica actualizada por medio de la Circular Externa 20 de 2020, que entró en vigencia con la publicación en el Diario Oficial No. 51.571 del 28 de enero de 2021. </w:t>
      </w:r>
    </w:p>
    <w:p w14:paraId="4EA92A8A"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4AD1E159" w14:textId="5C7DFFB0"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A través del Título V de la Circular Básica Jurídica</w:t>
      </w:r>
      <w:r w:rsidR="003F18AD">
        <w:rPr>
          <w:rFonts w:ascii="Tahoma" w:hAnsi="Tahoma" w:cs="Tahoma"/>
          <w:iCs/>
          <w:color w:val="222222"/>
          <w:shd w:val="clear" w:color="auto" w:fill="FFFFFF"/>
        </w:rPr>
        <w:t xml:space="preserve"> (en adelante CBJ)</w:t>
      </w:r>
      <w:r w:rsidRPr="003F18AD">
        <w:rPr>
          <w:rFonts w:ascii="Tahoma" w:hAnsi="Tahoma" w:cs="Tahoma"/>
          <w:iCs/>
          <w:color w:val="222222"/>
          <w:shd w:val="clear" w:color="auto" w:fill="FFFFFF"/>
        </w:rPr>
        <w:t xml:space="preserve">, </w:t>
      </w:r>
      <w:r w:rsidR="003F18AD">
        <w:rPr>
          <w:rFonts w:ascii="Tahoma" w:hAnsi="Tahoma" w:cs="Tahoma"/>
          <w:iCs/>
          <w:color w:val="222222"/>
          <w:shd w:val="clear" w:color="auto" w:fill="FFFFFF"/>
        </w:rPr>
        <w:t>adoptada mediante</w:t>
      </w:r>
      <w:r w:rsidRPr="003F18AD">
        <w:rPr>
          <w:rFonts w:ascii="Tahoma" w:hAnsi="Tahoma" w:cs="Tahoma"/>
          <w:iCs/>
          <w:color w:val="222222"/>
          <w:shd w:val="clear" w:color="auto" w:fill="FFFFFF"/>
        </w:rPr>
        <w:t xml:space="preserve"> la Circular Externa 20 de 2020, la Superintendencia de la Economía Solidaria impartió instrucciones respecto al Sistema de Administración del Riesgo de Lavado de Activos y Financiación del terrorismo,  incluidos los anexos que soportan los reportes a la UIAF y el anexo formulario de vinculación del asociado </w:t>
      </w:r>
      <w:r w:rsidR="003F18AD">
        <w:rPr>
          <w:rFonts w:ascii="Tahoma" w:hAnsi="Tahoma" w:cs="Tahoma"/>
          <w:iCs/>
          <w:color w:val="222222"/>
          <w:shd w:val="clear" w:color="auto" w:fill="FFFFFF"/>
        </w:rPr>
        <w:t xml:space="preserve">- </w:t>
      </w:r>
      <w:r w:rsidRPr="003F18AD">
        <w:rPr>
          <w:rFonts w:ascii="Tahoma" w:hAnsi="Tahoma" w:cs="Tahoma"/>
          <w:iCs/>
          <w:color w:val="222222"/>
          <w:shd w:val="clear" w:color="auto" w:fill="FFFFFF"/>
        </w:rPr>
        <w:t xml:space="preserve">cliente. </w:t>
      </w:r>
    </w:p>
    <w:p w14:paraId="70BEFEC7"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3174874D" w14:textId="77777777" w:rsidR="009172E1" w:rsidRPr="003F18AD" w:rsidRDefault="009172E1" w:rsidP="009172E1">
      <w:pPr>
        <w:pStyle w:val="Prrafodelista"/>
        <w:spacing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La Superintendencia ha celebrado a lo largo de este año varias mesas consultivas con el sector, con el objetivo de identificar inconvenientes y barreras regulatorias. Entre los hallazgos más relevantes, se destacó la cantidad de información exigida por la SES en los procesos de vinculación y actualización de datos de asociados o clientes, lo que limita la implementación de procesos ágiles y digitales necesarios para facilitar la vinculación de las personas a las empresas solidarias y a su portafolio de servicios.</w:t>
      </w:r>
    </w:p>
    <w:p w14:paraId="0074AC09" w14:textId="77777777" w:rsidR="009172E1" w:rsidRPr="003F18AD" w:rsidRDefault="009172E1" w:rsidP="009172E1">
      <w:pPr>
        <w:pStyle w:val="Prrafodelista"/>
        <w:spacing w:line="100" w:lineRule="atLeast"/>
        <w:ind w:left="0"/>
        <w:jc w:val="both"/>
        <w:rPr>
          <w:rFonts w:ascii="Tahoma" w:hAnsi="Tahoma" w:cs="Tahoma"/>
          <w:iCs/>
          <w:color w:val="222222"/>
          <w:shd w:val="clear" w:color="auto" w:fill="FFFFFF"/>
        </w:rPr>
      </w:pPr>
    </w:p>
    <w:p w14:paraId="5E775689" w14:textId="77777777" w:rsidR="009172E1" w:rsidRPr="003F18AD" w:rsidRDefault="009172E1" w:rsidP="009172E1">
      <w:pPr>
        <w:pStyle w:val="Prrafodelista"/>
        <w:spacing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Asimismo, se han realizado mesas de trabajo con la UIAF, donde se identificó la necesidad de actualizar el Anexo 1 del Título V de la CBJ, correspondiente al formato de reporte de operación sospechosa (ROS).</w:t>
      </w:r>
    </w:p>
    <w:p w14:paraId="59CAC03A" w14:textId="77777777" w:rsidR="009172E1" w:rsidRPr="003F18AD" w:rsidRDefault="009172E1" w:rsidP="009172E1">
      <w:pPr>
        <w:pStyle w:val="Prrafodelista"/>
        <w:spacing w:line="100" w:lineRule="atLeast"/>
        <w:ind w:left="0"/>
        <w:jc w:val="both"/>
        <w:rPr>
          <w:rFonts w:ascii="Tahoma" w:hAnsi="Tahoma" w:cs="Tahoma"/>
          <w:iCs/>
          <w:color w:val="222222"/>
          <w:shd w:val="clear" w:color="auto" w:fill="FFFFFF"/>
        </w:rPr>
      </w:pPr>
    </w:p>
    <w:p w14:paraId="233F9D23" w14:textId="77777777" w:rsidR="009172E1" w:rsidRPr="003F18AD" w:rsidRDefault="009172E1" w:rsidP="009172E1">
      <w:pPr>
        <w:pStyle w:val="Prrafodelista"/>
        <w:spacing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Respecto al Anexo 1 del Título V de la CBJ, se evidenció una desactualización en relación con los parámetros definidos por la UIAF. Esto determina la necesidad de modificar los anexos 1 y 6 (ahora 5) del Título V de la CBJ, de manera que se adecuen, respectivamente, a los parámetros establecidos por la UIAF y a las particularidades de las empresas del sector solidario, así como al perfil de riesgo de estas y de sus asociados.</w:t>
      </w:r>
    </w:p>
    <w:p w14:paraId="5B4D74CD"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4586BCFB"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 xml:space="preserve">Por lo anterior, esta Superintendencia en ejercicio de las facultades legales conferidas en el numeral 22 del artículo 36 de la Ley 454 de 1998, imparte las siguientes instrucciones: </w:t>
      </w:r>
    </w:p>
    <w:p w14:paraId="5D0CC139"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4D5D91F4"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b/>
          <w:bCs/>
          <w:iCs/>
          <w:color w:val="222222"/>
          <w:shd w:val="clear" w:color="auto" w:fill="FFFFFF"/>
        </w:rPr>
        <w:t>PRIMERA:</w:t>
      </w:r>
      <w:r w:rsidRPr="003F18AD">
        <w:rPr>
          <w:rFonts w:ascii="Tahoma" w:hAnsi="Tahoma" w:cs="Tahoma"/>
          <w:iCs/>
          <w:color w:val="222222"/>
          <w:shd w:val="clear" w:color="auto" w:fill="FFFFFF"/>
        </w:rPr>
        <w:t xml:space="preserve"> Modificar el numeral 3.2.2.3.1.2., del Título IV de la Circular Básica jurídica, en el siguiente apartado: </w:t>
      </w:r>
    </w:p>
    <w:p w14:paraId="19B52D36"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569435DA"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iCs/>
          <w:color w:val="222222"/>
          <w:shd w:val="clear" w:color="auto" w:fill="FFFFFF"/>
        </w:rPr>
        <w:t xml:space="preserve">“…Para efectos de lo señalado sobre el conocimiento del asociado o cliente, las organizaciones solidarias deben solicitar el diligenciamiento del </w:t>
      </w:r>
      <w:r w:rsidRPr="003F18AD">
        <w:rPr>
          <w:rFonts w:ascii="Tahoma" w:hAnsi="Tahoma" w:cs="Tahoma"/>
          <w:b/>
          <w:iCs/>
          <w:color w:val="222222"/>
          <w:u w:val="single"/>
          <w:shd w:val="clear" w:color="auto" w:fill="FFFFFF"/>
        </w:rPr>
        <w:t>anexo 5</w:t>
      </w:r>
      <w:r w:rsidRPr="003F18AD">
        <w:rPr>
          <w:rFonts w:ascii="Tahoma" w:hAnsi="Tahoma" w:cs="Tahoma"/>
          <w:iCs/>
          <w:color w:val="222222"/>
          <w:shd w:val="clear" w:color="auto" w:fill="FFFFFF"/>
        </w:rPr>
        <w:t xml:space="preserve">, anexo al presente Capítulo, sin perjuicio de los requisitos de información y documentación adicionales que establezcan las organizaciones de acuerdo con la identificación de riesgos que realicen, teniendo en cuenta las características particulares de sus asociados o clientes y de los </w:t>
      </w:r>
      <w:r w:rsidRPr="003F18AD">
        <w:rPr>
          <w:rFonts w:ascii="Tahoma" w:hAnsi="Tahoma" w:cs="Tahoma"/>
          <w:iCs/>
          <w:color w:val="222222"/>
          <w:shd w:val="clear" w:color="auto" w:fill="FFFFFF"/>
        </w:rPr>
        <w:lastRenderedPageBreak/>
        <w:t>productos o servicios que ofrezca cada organización. Con respecto a la firma y huella requeridos en el formulario, las organizaciones solidarias podrán utilizar mecanismos como los certificados de firma digital, según lo establecido en la Ley 527 de 199929, factores biométricos u otros mecanismos tecnológicos que garanticen la verificación y autenticación de la identidad del asociado o cliente.”…</w:t>
      </w:r>
    </w:p>
    <w:p w14:paraId="0EE2BFBE"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b/>
          <w:bCs/>
          <w:iCs/>
          <w:color w:val="222222"/>
          <w:shd w:val="clear" w:color="auto" w:fill="FFFFFF"/>
        </w:rPr>
      </w:pPr>
    </w:p>
    <w:p w14:paraId="2BE2A3CE"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b/>
          <w:bCs/>
          <w:iCs/>
          <w:color w:val="222222"/>
          <w:shd w:val="clear" w:color="auto" w:fill="FFFFFF"/>
        </w:rPr>
        <w:t>SEGUNDA:</w:t>
      </w:r>
      <w:r w:rsidRPr="003F18AD">
        <w:rPr>
          <w:rFonts w:ascii="Tahoma" w:hAnsi="Tahoma" w:cs="Tahoma"/>
          <w:iCs/>
          <w:color w:val="222222"/>
          <w:shd w:val="clear" w:color="auto" w:fill="FFFFFF"/>
        </w:rPr>
        <w:t xml:space="preserve"> Modificar el anexo 1 del Título V de la Circular Básica Jurídica: Reporte de operaciones sospechosas (ROS) de las organizaciones vigiladas por la superintendencia de la economía solidaria.</w:t>
      </w:r>
    </w:p>
    <w:p w14:paraId="30B2F020"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5BB2D0BE" w14:textId="4002E609" w:rsidR="0039421E" w:rsidRPr="003F18AD" w:rsidRDefault="0039421E"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r w:rsidRPr="003F18AD">
        <w:rPr>
          <w:rFonts w:ascii="Tahoma" w:hAnsi="Tahoma" w:cs="Tahoma"/>
          <w:b/>
          <w:iCs/>
          <w:color w:val="222222"/>
          <w:shd w:val="clear" w:color="auto" w:fill="FFFFFF"/>
        </w:rPr>
        <w:t xml:space="preserve">TERCERA: </w:t>
      </w:r>
      <w:r w:rsidRPr="003F18AD">
        <w:rPr>
          <w:rFonts w:ascii="Tahoma" w:hAnsi="Tahoma" w:cs="Tahoma"/>
          <w:iCs/>
          <w:color w:val="222222"/>
          <w:shd w:val="clear" w:color="auto" w:fill="FFFFFF"/>
        </w:rPr>
        <w:t xml:space="preserve">Modificar el anexo 5, antes anexo 6, del Título V de la Circular Básica Jurídica, Formulario de vinculación del asociado </w:t>
      </w:r>
      <w:r w:rsidR="009172E1" w:rsidRPr="003F18AD">
        <w:rPr>
          <w:rFonts w:ascii="Tahoma" w:hAnsi="Tahoma" w:cs="Tahoma"/>
          <w:iCs/>
          <w:color w:val="222222"/>
          <w:shd w:val="clear" w:color="auto" w:fill="FFFFFF"/>
        </w:rPr>
        <w:t>así:</w:t>
      </w:r>
      <w:r w:rsidRPr="003F18AD">
        <w:rPr>
          <w:rFonts w:ascii="Tahoma" w:hAnsi="Tahoma" w:cs="Tahoma"/>
          <w:iCs/>
          <w:color w:val="222222"/>
          <w:shd w:val="clear" w:color="auto" w:fill="FFFFFF"/>
        </w:rPr>
        <w:tab/>
      </w:r>
    </w:p>
    <w:p w14:paraId="183F8273" w14:textId="77777777" w:rsidR="009172E1" w:rsidRPr="003F18AD" w:rsidRDefault="009172E1" w:rsidP="0039421E">
      <w:pPr>
        <w:pStyle w:val="Prrafodelista"/>
        <w:spacing w:before="100" w:beforeAutospacing="1" w:after="100" w:afterAutospacing="1" w:line="100" w:lineRule="atLeast"/>
        <w:ind w:left="0"/>
        <w:jc w:val="both"/>
        <w:rPr>
          <w:rFonts w:ascii="Tahoma" w:hAnsi="Tahoma" w:cs="Tahoma"/>
          <w:iCs/>
          <w:color w:val="222222"/>
          <w:shd w:val="clear" w:color="auto" w:fill="FFFFFF"/>
        </w:rPr>
      </w:pPr>
    </w:p>
    <w:p w14:paraId="54C84BEF" w14:textId="002F691D" w:rsidR="009172E1" w:rsidRPr="003F18AD" w:rsidRDefault="0093417A"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r w:rsidRPr="0093417A">
        <w:rPr>
          <w:rFonts w:ascii="Tahoma" w:hAnsi="Tahoma" w:cs="Tahoma"/>
          <w:b/>
          <w:iCs/>
          <w:color w:val="222222"/>
          <w:shd w:val="clear" w:color="auto" w:fill="FFFFFF"/>
        </w:rPr>
        <w:drawing>
          <wp:inline distT="0" distB="0" distL="0" distR="0" wp14:anchorId="35E0216D" wp14:editId="2CEACA00">
            <wp:extent cx="5794218" cy="27296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98782" cy="2731770"/>
                    </a:xfrm>
                    <a:prstGeom prst="rect">
                      <a:avLst/>
                    </a:prstGeom>
                  </pic:spPr>
                </pic:pic>
              </a:graphicData>
            </a:graphic>
          </wp:inline>
        </w:drawing>
      </w:r>
      <w:bookmarkStart w:id="0" w:name="_GoBack"/>
      <w:bookmarkEnd w:id="0"/>
    </w:p>
    <w:p w14:paraId="0E7DC77E" w14:textId="4F29EF6C" w:rsidR="00186B59" w:rsidRPr="003F18AD" w:rsidRDefault="00186B59"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r w:rsidRPr="003F18AD">
        <w:rPr>
          <w:rFonts w:ascii="Tahoma" w:hAnsi="Tahoma" w:cs="Tahoma"/>
          <w:b/>
          <w:iCs/>
          <w:noProof/>
          <w:color w:val="222222"/>
          <w:shd w:val="clear" w:color="auto" w:fill="FFFFFF"/>
          <w:lang w:eastAsia="es-CO"/>
        </w:rPr>
        <w:drawing>
          <wp:inline distT="0" distB="0" distL="0" distR="0" wp14:anchorId="16D2E5E4" wp14:editId="5133D49F">
            <wp:extent cx="5793105" cy="1221740"/>
            <wp:effectExtent l="0" t="0" r="0" b="0"/>
            <wp:docPr id="1875481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81447" name=""/>
                    <pic:cNvPicPr/>
                  </pic:nvPicPr>
                  <pic:blipFill>
                    <a:blip r:embed="rId10"/>
                    <a:stretch>
                      <a:fillRect/>
                    </a:stretch>
                  </pic:blipFill>
                  <pic:spPr>
                    <a:xfrm>
                      <a:off x="0" y="0"/>
                      <a:ext cx="5793105" cy="1221740"/>
                    </a:xfrm>
                    <a:prstGeom prst="rect">
                      <a:avLst/>
                    </a:prstGeom>
                  </pic:spPr>
                </pic:pic>
              </a:graphicData>
            </a:graphic>
          </wp:inline>
        </w:drawing>
      </w:r>
    </w:p>
    <w:p w14:paraId="1D009419" w14:textId="6CC55D63" w:rsidR="00186B59" w:rsidRPr="003F18AD" w:rsidRDefault="00186B59"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r w:rsidRPr="003F18AD">
        <w:rPr>
          <w:rFonts w:ascii="Tahoma" w:hAnsi="Tahoma" w:cs="Tahoma"/>
          <w:b/>
          <w:iCs/>
          <w:noProof/>
          <w:color w:val="222222"/>
          <w:shd w:val="clear" w:color="auto" w:fill="FFFFFF"/>
          <w:lang w:eastAsia="es-CO"/>
        </w:rPr>
        <w:lastRenderedPageBreak/>
        <w:drawing>
          <wp:inline distT="0" distB="0" distL="0" distR="0" wp14:anchorId="6A9CA0AA" wp14:editId="38F9B163">
            <wp:extent cx="5793105" cy="2075180"/>
            <wp:effectExtent l="0" t="0" r="0" b="1270"/>
            <wp:docPr id="7393355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35505" name=""/>
                    <pic:cNvPicPr/>
                  </pic:nvPicPr>
                  <pic:blipFill>
                    <a:blip r:embed="rId11"/>
                    <a:stretch>
                      <a:fillRect/>
                    </a:stretch>
                  </pic:blipFill>
                  <pic:spPr>
                    <a:xfrm>
                      <a:off x="0" y="0"/>
                      <a:ext cx="5793105" cy="2075180"/>
                    </a:xfrm>
                    <a:prstGeom prst="rect">
                      <a:avLst/>
                    </a:prstGeom>
                  </pic:spPr>
                </pic:pic>
              </a:graphicData>
            </a:graphic>
          </wp:inline>
        </w:drawing>
      </w:r>
    </w:p>
    <w:p w14:paraId="5E1BC758" w14:textId="66CD1024" w:rsidR="00186B59" w:rsidRPr="003F18AD" w:rsidRDefault="00186B59"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r w:rsidRPr="003F18AD">
        <w:rPr>
          <w:rFonts w:ascii="Tahoma" w:hAnsi="Tahoma" w:cs="Tahoma"/>
          <w:b/>
          <w:iCs/>
          <w:noProof/>
          <w:color w:val="222222"/>
          <w:shd w:val="clear" w:color="auto" w:fill="FFFFFF"/>
          <w:lang w:eastAsia="es-CO"/>
        </w:rPr>
        <w:drawing>
          <wp:inline distT="0" distB="0" distL="0" distR="0" wp14:anchorId="63F125D8" wp14:editId="7C437876">
            <wp:extent cx="5793105" cy="2761615"/>
            <wp:effectExtent l="0" t="0" r="0" b="635"/>
            <wp:docPr id="14543267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26700" name=""/>
                    <pic:cNvPicPr/>
                  </pic:nvPicPr>
                  <pic:blipFill>
                    <a:blip r:embed="rId12"/>
                    <a:stretch>
                      <a:fillRect/>
                    </a:stretch>
                  </pic:blipFill>
                  <pic:spPr>
                    <a:xfrm>
                      <a:off x="0" y="0"/>
                      <a:ext cx="5793105" cy="2761615"/>
                    </a:xfrm>
                    <a:prstGeom prst="rect">
                      <a:avLst/>
                    </a:prstGeom>
                  </pic:spPr>
                </pic:pic>
              </a:graphicData>
            </a:graphic>
          </wp:inline>
        </w:drawing>
      </w:r>
    </w:p>
    <w:p w14:paraId="6D611C75" w14:textId="7840D0C4" w:rsidR="00186B59" w:rsidRPr="003F18AD" w:rsidRDefault="00186B59"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r w:rsidRPr="003F18AD">
        <w:rPr>
          <w:rFonts w:ascii="Tahoma" w:hAnsi="Tahoma" w:cs="Tahoma"/>
          <w:b/>
          <w:iCs/>
          <w:noProof/>
          <w:color w:val="222222"/>
          <w:shd w:val="clear" w:color="auto" w:fill="FFFFFF"/>
          <w:lang w:eastAsia="es-CO"/>
        </w:rPr>
        <w:drawing>
          <wp:inline distT="0" distB="0" distL="0" distR="0" wp14:anchorId="6995E9DC" wp14:editId="20DDA981">
            <wp:extent cx="5793105" cy="2073910"/>
            <wp:effectExtent l="0" t="0" r="0" b="2540"/>
            <wp:docPr id="1942305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05694" name=""/>
                    <pic:cNvPicPr/>
                  </pic:nvPicPr>
                  <pic:blipFill>
                    <a:blip r:embed="rId13"/>
                    <a:stretch>
                      <a:fillRect/>
                    </a:stretch>
                  </pic:blipFill>
                  <pic:spPr>
                    <a:xfrm>
                      <a:off x="0" y="0"/>
                      <a:ext cx="5793105" cy="2073910"/>
                    </a:xfrm>
                    <a:prstGeom prst="rect">
                      <a:avLst/>
                    </a:prstGeom>
                  </pic:spPr>
                </pic:pic>
              </a:graphicData>
            </a:graphic>
          </wp:inline>
        </w:drawing>
      </w:r>
    </w:p>
    <w:p w14:paraId="3CF60157" w14:textId="77777777" w:rsidR="00186B59" w:rsidRPr="003F18AD" w:rsidRDefault="00186B59"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p>
    <w:p w14:paraId="07F291E1" w14:textId="77777777" w:rsidR="00186B59" w:rsidRPr="003F18AD" w:rsidRDefault="00186B59"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p>
    <w:p w14:paraId="436AA0E1" w14:textId="72763C58" w:rsidR="00186B59" w:rsidRPr="003F18AD" w:rsidRDefault="00186B59"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r w:rsidRPr="003F18AD">
        <w:rPr>
          <w:rFonts w:ascii="Tahoma" w:hAnsi="Tahoma" w:cs="Tahoma"/>
          <w:b/>
          <w:iCs/>
          <w:noProof/>
          <w:color w:val="222222"/>
          <w:shd w:val="clear" w:color="auto" w:fill="FFFFFF"/>
          <w:lang w:eastAsia="es-CO"/>
        </w:rPr>
        <w:drawing>
          <wp:inline distT="0" distB="0" distL="0" distR="0" wp14:anchorId="0B3BAB2E" wp14:editId="4F510694">
            <wp:extent cx="5793105" cy="1256665"/>
            <wp:effectExtent l="0" t="0" r="0" b="635"/>
            <wp:docPr id="325241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41072" name=""/>
                    <pic:cNvPicPr/>
                  </pic:nvPicPr>
                  <pic:blipFill>
                    <a:blip r:embed="rId14"/>
                    <a:stretch>
                      <a:fillRect/>
                    </a:stretch>
                  </pic:blipFill>
                  <pic:spPr>
                    <a:xfrm>
                      <a:off x="0" y="0"/>
                      <a:ext cx="5793105" cy="1256665"/>
                    </a:xfrm>
                    <a:prstGeom prst="rect">
                      <a:avLst/>
                    </a:prstGeom>
                  </pic:spPr>
                </pic:pic>
              </a:graphicData>
            </a:graphic>
          </wp:inline>
        </w:drawing>
      </w:r>
    </w:p>
    <w:p w14:paraId="09CF0D22" w14:textId="5B8AF47D" w:rsidR="009172E1" w:rsidRPr="003F18AD" w:rsidRDefault="009172E1" w:rsidP="0039421E">
      <w:pPr>
        <w:pStyle w:val="Prrafodelista"/>
        <w:spacing w:before="100" w:beforeAutospacing="1" w:after="100" w:afterAutospacing="1" w:line="100" w:lineRule="atLeast"/>
        <w:ind w:left="0"/>
        <w:jc w:val="both"/>
        <w:rPr>
          <w:rFonts w:ascii="Tahoma" w:hAnsi="Tahoma" w:cs="Tahoma"/>
          <w:b/>
          <w:iCs/>
          <w:color w:val="222222"/>
          <w:shd w:val="clear" w:color="auto" w:fill="FFFFFF"/>
        </w:rPr>
      </w:pPr>
    </w:p>
    <w:p w14:paraId="504BF332" w14:textId="77777777" w:rsidR="0039421E" w:rsidRPr="003F18AD" w:rsidRDefault="0039421E" w:rsidP="0039421E">
      <w:pPr>
        <w:pStyle w:val="Prrafodelista"/>
        <w:spacing w:before="100" w:beforeAutospacing="1" w:after="100" w:afterAutospacing="1" w:line="100" w:lineRule="atLeast"/>
        <w:ind w:left="0"/>
        <w:jc w:val="both"/>
        <w:rPr>
          <w:rFonts w:ascii="Tahoma" w:hAnsi="Tahoma" w:cs="Tahoma"/>
          <w:iCs/>
          <w:shd w:val="clear" w:color="auto" w:fill="FFFFFF"/>
        </w:rPr>
      </w:pPr>
      <w:r w:rsidRPr="003F18AD">
        <w:rPr>
          <w:rFonts w:ascii="Tahoma" w:hAnsi="Tahoma" w:cs="Tahoma"/>
          <w:b/>
          <w:bCs/>
          <w:iCs/>
          <w:color w:val="222222"/>
          <w:shd w:val="clear" w:color="auto" w:fill="FFFFFF"/>
        </w:rPr>
        <w:t>CUARTA:</w:t>
      </w:r>
      <w:r w:rsidRPr="003F18AD">
        <w:rPr>
          <w:rFonts w:ascii="Tahoma" w:hAnsi="Tahoma" w:cs="Tahoma"/>
          <w:iCs/>
          <w:color w:val="222222"/>
          <w:shd w:val="clear" w:color="auto" w:fill="FFFFFF"/>
        </w:rPr>
        <w:t xml:space="preserve"> Conforme con lo previsto en el inciso primero del artículo 65 de la Ley 1437 de 2011, la presente Circular rige a partir de la fecha de su publicación en el Diario Oficial. </w:t>
      </w:r>
    </w:p>
    <w:p w14:paraId="62083558" w14:textId="77777777" w:rsidR="0039421E" w:rsidRPr="003F18AD" w:rsidRDefault="0039421E" w:rsidP="0039421E">
      <w:pPr>
        <w:rPr>
          <w:rFonts w:ascii="Tahoma" w:hAnsi="Tahoma" w:cs="Tahoma"/>
          <w:i w:val="0"/>
          <w:iCs/>
          <w:sz w:val="22"/>
          <w:szCs w:val="22"/>
        </w:rPr>
      </w:pPr>
      <w:r w:rsidRPr="003F18AD">
        <w:rPr>
          <w:rFonts w:ascii="Tahoma" w:hAnsi="Tahoma" w:cs="Tahoma"/>
          <w:i w:val="0"/>
          <w:iCs/>
          <w:sz w:val="22"/>
          <w:szCs w:val="22"/>
        </w:rPr>
        <w:t>Cordialmente,</w:t>
      </w:r>
    </w:p>
    <w:p w14:paraId="6FF354D8" w14:textId="77777777" w:rsidR="0039421E" w:rsidRPr="003F18AD" w:rsidRDefault="0039421E" w:rsidP="0039421E">
      <w:pPr>
        <w:rPr>
          <w:rFonts w:ascii="Tahoma" w:hAnsi="Tahoma" w:cs="Tahoma"/>
          <w:i w:val="0"/>
          <w:sz w:val="22"/>
          <w:szCs w:val="22"/>
        </w:rPr>
      </w:pPr>
    </w:p>
    <w:p w14:paraId="650AE78A" w14:textId="77777777" w:rsidR="0039421E" w:rsidRPr="003F18AD" w:rsidRDefault="0039421E" w:rsidP="0039421E">
      <w:pPr>
        <w:rPr>
          <w:rFonts w:ascii="Tahoma" w:hAnsi="Tahoma" w:cs="Tahoma"/>
          <w:i w:val="0"/>
          <w:sz w:val="6"/>
          <w:szCs w:val="6"/>
        </w:rPr>
      </w:pPr>
    </w:p>
    <w:p w14:paraId="6E6189BF" w14:textId="77777777" w:rsidR="0039421E" w:rsidRPr="003F18AD" w:rsidRDefault="0039421E" w:rsidP="0039421E">
      <w:pPr>
        <w:rPr>
          <w:rFonts w:ascii="Tahoma" w:hAnsi="Tahoma" w:cs="Tahoma"/>
          <w:i w:val="0"/>
          <w:sz w:val="22"/>
          <w:szCs w:val="22"/>
        </w:rPr>
      </w:pPr>
    </w:p>
    <w:p w14:paraId="2EEE64D1" w14:textId="77777777" w:rsidR="0039421E" w:rsidRPr="003F18AD" w:rsidRDefault="0039421E" w:rsidP="0039421E">
      <w:pPr>
        <w:rPr>
          <w:rFonts w:ascii="Tahoma" w:hAnsi="Tahoma" w:cs="Tahoma"/>
          <w:i w:val="0"/>
          <w:sz w:val="22"/>
          <w:szCs w:val="22"/>
        </w:rPr>
      </w:pPr>
    </w:p>
    <w:p w14:paraId="1FE2CC54" w14:textId="77777777" w:rsidR="00B655B6" w:rsidRPr="003F18AD" w:rsidRDefault="00B655B6" w:rsidP="0039421E">
      <w:pPr>
        <w:rPr>
          <w:rFonts w:ascii="Tahoma" w:hAnsi="Tahoma" w:cs="Tahoma"/>
          <w:i w:val="0"/>
          <w:sz w:val="22"/>
          <w:szCs w:val="22"/>
        </w:rPr>
      </w:pPr>
    </w:p>
    <w:p w14:paraId="0A9E664B" w14:textId="77777777" w:rsidR="0039421E" w:rsidRPr="003F18AD" w:rsidRDefault="0039421E" w:rsidP="0039421E">
      <w:pPr>
        <w:rPr>
          <w:rFonts w:ascii="Tahoma" w:hAnsi="Tahoma" w:cs="Tahoma"/>
          <w:b/>
          <w:i w:val="0"/>
          <w:sz w:val="22"/>
          <w:szCs w:val="22"/>
        </w:rPr>
      </w:pPr>
      <w:r w:rsidRPr="003F18AD">
        <w:rPr>
          <w:rFonts w:ascii="Tahoma" w:hAnsi="Tahoma" w:cs="Tahoma"/>
          <w:b/>
          <w:i w:val="0"/>
          <w:sz w:val="22"/>
          <w:szCs w:val="22"/>
        </w:rPr>
        <w:t>MARÍA JOSÉ NAVARRO MUÑOZ</w:t>
      </w:r>
    </w:p>
    <w:p w14:paraId="79C6FFD8" w14:textId="77777777" w:rsidR="0039421E" w:rsidRPr="003F18AD" w:rsidRDefault="0039421E" w:rsidP="0039421E">
      <w:pPr>
        <w:jc w:val="both"/>
        <w:rPr>
          <w:rFonts w:ascii="Tahoma" w:hAnsi="Tahoma" w:cs="Tahoma"/>
          <w:i w:val="0"/>
          <w:sz w:val="22"/>
          <w:szCs w:val="22"/>
        </w:rPr>
      </w:pPr>
      <w:r w:rsidRPr="003F18AD">
        <w:rPr>
          <w:rFonts w:ascii="Tahoma" w:hAnsi="Tahoma" w:cs="Tahoma"/>
          <w:i w:val="0"/>
          <w:sz w:val="22"/>
          <w:szCs w:val="22"/>
        </w:rPr>
        <w:t>Superintendenta de la Economía Solidaria</w:t>
      </w:r>
    </w:p>
    <w:p w14:paraId="6251EEF0" w14:textId="77777777" w:rsidR="0039421E" w:rsidRPr="003F18AD" w:rsidRDefault="0039421E" w:rsidP="0039421E">
      <w:pPr>
        <w:rPr>
          <w:rFonts w:ascii="Tahoma" w:hAnsi="Tahoma" w:cs="Tahoma"/>
          <w:sz w:val="16"/>
        </w:rPr>
      </w:pPr>
    </w:p>
    <w:p w14:paraId="7C48558F" w14:textId="77777777" w:rsidR="0039421E" w:rsidRPr="003F18AD" w:rsidRDefault="0039421E" w:rsidP="0039421E">
      <w:pPr>
        <w:rPr>
          <w:rFonts w:ascii="Tahoma" w:hAnsi="Tahoma" w:cs="Tahoma"/>
          <w:i w:val="0"/>
          <w:sz w:val="16"/>
        </w:rPr>
      </w:pPr>
      <w:r w:rsidRPr="003F18AD">
        <w:rPr>
          <w:rFonts w:ascii="Tahoma" w:hAnsi="Tahoma" w:cs="Tahoma"/>
          <w:i w:val="0"/>
          <w:sz w:val="16"/>
        </w:rPr>
        <w:t>Proyectó: Caterine Benítez Cárdenas</w:t>
      </w:r>
    </w:p>
    <w:p w14:paraId="7E07501F" w14:textId="77777777" w:rsidR="0039421E" w:rsidRPr="003F18AD" w:rsidRDefault="0039421E" w:rsidP="0039421E">
      <w:pPr>
        <w:rPr>
          <w:rFonts w:ascii="Tahoma" w:hAnsi="Tahoma" w:cs="Tahoma"/>
          <w:i w:val="0"/>
          <w:sz w:val="2"/>
          <w:szCs w:val="8"/>
        </w:rPr>
      </w:pPr>
    </w:p>
    <w:p w14:paraId="7999BB28" w14:textId="77777777" w:rsidR="0039421E" w:rsidRPr="003F18AD" w:rsidRDefault="0039421E" w:rsidP="0039421E">
      <w:pPr>
        <w:rPr>
          <w:rFonts w:ascii="Tahoma" w:hAnsi="Tahoma" w:cs="Tahoma"/>
          <w:i w:val="0"/>
          <w:sz w:val="16"/>
        </w:rPr>
      </w:pPr>
      <w:r w:rsidRPr="003F18AD">
        <w:rPr>
          <w:rFonts w:ascii="Tahoma" w:hAnsi="Tahoma" w:cs="Tahoma"/>
          <w:i w:val="0"/>
          <w:sz w:val="16"/>
        </w:rPr>
        <w:t xml:space="preserve">Revisó:    Eduard Fernando Martínez González </w:t>
      </w:r>
    </w:p>
    <w:p w14:paraId="19ADDE27" w14:textId="77777777" w:rsidR="0039421E" w:rsidRPr="003F18AD" w:rsidRDefault="0039421E" w:rsidP="0039421E">
      <w:pPr>
        <w:ind w:left="708"/>
        <w:contextualSpacing/>
        <w:rPr>
          <w:rFonts w:ascii="Tahoma" w:hAnsi="Tahoma" w:cs="Tahoma"/>
          <w:i w:val="0"/>
          <w:sz w:val="16"/>
        </w:rPr>
      </w:pPr>
      <w:r w:rsidRPr="003F18AD">
        <w:rPr>
          <w:rFonts w:ascii="Tahoma" w:hAnsi="Tahoma" w:cs="Tahoma"/>
          <w:i w:val="0"/>
          <w:sz w:val="16"/>
        </w:rPr>
        <w:t xml:space="preserve">Beatriz Leonela Lizcano Castro </w:t>
      </w:r>
    </w:p>
    <w:p w14:paraId="59F8D818" w14:textId="2E6A9D84" w:rsidR="0039421E" w:rsidRPr="003F18AD" w:rsidRDefault="0039421E" w:rsidP="003B6164">
      <w:pPr>
        <w:ind w:left="708"/>
        <w:contextualSpacing/>
        <w:rPr>
          <w:rFonts w:ascii="Tahoma" w:hAnsi="Tahoma" w:cs="Tahoma"/>
          <w:i w:val="0"/>
          <w:sz w:val="16"/>
        </w:rPr>
      </w:pPr>
      <w:proofErr w:type="spellStart"/>
      <w:r w:rsidRPr="003F18AD">
        <w:rPr>
          <w:rFonts w:ascii="Tahoma" w:hAnsi="Tahoma" w:cs="Tahoma"/>
          <w:i w:val="0"/>
          <w:sz w:val="16"/>
        </w:rPr>
        <w:t>Jhaniela</w:t>
      </w:r>
      <w:proofErr w:type="spellEnd"/>
      <w:r w:rsidRPr="003F18AD">
        <w:rPr>
          <w:rFonts w:ascii="Tahoma" w:hAnsi="Tahoma" w:cs="Tahoma"/>
          <w:i w:val="0"/>
          <w:sz w:val="16"/>
        </w:rPr>
        <w:t xml:space="preserve"> Jiménez Gutiérrez</w:t>
      </w:r>
    </w:p>
    <w:p w14:paraId="248C3FCB" w14:textId="07EC77E1" w:rsidR="005806F8" w:rsidRPr="003F18AD" w:rsidRDefault="0039421E" w:rsidP="009172E1">
      <w:pPr>
        <w:ind w:firstLine="708"/>
        <w:jc w:val="both"/>
        <w:rPr>
          <w:rFonts w:ascii="Tahoma" w:hAnsi="Tahoma" w:cs="Tahoma"/>
          <w:sz w:val="18"/>
          <w:szCs w:val="18"/>
          <w:lang w:val="es-MX"/>
        </w:rPr>
      </w:pPr>
      <w:proofErr w:type="spellStart"/>
      <w:r w:rsidRPr="003F18AD">
        <w:rPr>
          <w:rFonts w:ascii="Tahoma" w:hAnsi="Tahoma" w:cs="Tahoma"/>
          <w:i w:val="0"/>
          <w:sz w:val="16"/>
        </w:rPr>
        <w:t>Raiza</w:t>
      </w:r>
      <w:proofErr w:type="spellEnd"/>
      <w:r w:rsidRPr="003F18AD">
        <w:rPr>
          <w:rFonts w:ascii="Tahoma" w:hAnsi="Tahoma" w:cs="Tahoma"/>
          <w:i w:val="0"/>
          <w:sz w:val="16"/>
        </w:rPr>
        <w:t xml:space="preserve"> Posada Cotes</w:t>
      </w:r>
    </w:p>
    <w:sectPr w:rsidR="005806F8" w:rsidRPr="003F18AD" w:rsidSect="00E20347">
      <w:headerReference w:type="default" r:id="rId15"/>
      <w:footerReference w:type="default" r:id="rId16"/>
      <w:headerReference w:type="first" r:id="rId17"/>
      <w:footerReference w:type="first" r:id="rId18"/>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38DB9" w14:textId="77777777" w:rsidR="00125408" w:rsidRDefault="00125408">
      <w:r>
        <w:separator/>
      </w:r>
    </w:p>
  </w:endnote>
  <w:endnote w:type="continuationSeparator" w:id="0">
    <w:p w14:paraId="235B0071" w14:textId="77777777" w:rsidR="00125408" w:rsidRDefault="001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B4B73" w14:textId="77777777" w:rsidR="00125408" w:rsidRDefault="00125408">
      <w:r>
        <w:separator/>
      </w:r>
    </w:p>
  </w:footnote>
  <w:footnote w:type="continuationSeparator" w:id="0">
    <w:p w14:paraId="1F00FAFC" w14:textId="77777777" w:rsidR="00125408" w:rsidRDefault="00125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4324E653" w:rsidR="000F7FD7" w:rsidRDefault="00356008">
    <w:pPr>
      <w:ind w:right="-59"/>
      <w:rPr>
        <w:sz w:val="18"/>
        <w:szCs w:val="18"/>
      </w:rPr>
    </w:pPr>
    <w:r>
      <w:rPr>
        <w:bCs/>
        <w:sz w:val="18"/>
        <w:szCs w:val="18"/>
        <w:lang w:val="es-ES_tradnl"/>
      </w:rPr>
      <w:t>100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93417A">
      <w:rPr>
        <w:rStyle w:val="Nmerodepgina"/>
        <w:rFonts w:cs="Arial"/>
        <w:iCs/>
        <w:noProof/>
        <w:sz w:val="18"/>
        <w:szCs w:val="18"/>
      </w:rPr>
      <w:t>4</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93417A">
      <w:rPr>
        <w:rStyle w:val="Nmerodepgina"/>
        <w:rFonts w:cs="Arial"/>
        <w:iCs/>
        <w:noProof/>
        <w:sz w:val="18"/>
        <w:szCs w:val="18"/>
      </w:rPr>
      <w:t>5</w:t>
    </w:r>
    <w:r w:rsidR="000F7FD7">
      <w:rPr>
        <w:rStyle w:val="Nmerodepgina"/>
        <w:rFonts w:cs="Arial"/>
        <w:i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6"/>
      <w:gridCol w:w="7737"/>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16A17558" w14:textId="77777777" w:rsidR="00EC3A42" w:rsidRDefault="00356008" w:rsidP="0039421E">
          <w:pPr>
            <w:jc w:val="both"/>
            <w:rPr>
              <w:rFonts w:ascii="Verdana" w:hAnsi="Verdana"/>
              <w:b/>
              <w:bCs/>
              <w:i w:val="0"/>
              <w:sz w:val="22"/>
              <w:szCs w:val="22"/>
            </w:rPr>
          </w:pPr>
          <w:r>
            <w:rPr>
              <w:rFonts w:ascii="Verdana" w:hAnsi="Verdana"/>
              <w:b/>
              <w:bCs/>
              <w:i w:val="0"/>
              <w:sz w:val="22"/>
              <w:szCs w:val="22"/>
            </w:rPr>
            <w:t>REPRESENTANTES LEGALES, MIEMBROS DEL ÓRGANO PERMANENTE DE ADMINISTRACIÓN, DE CONTROL SOCIAL, OFICIALES DE CUMPLIMIENTO Y REVISORES FISCALES DE LAS ORGANIZACIONES DE ECONOMÍA SOLIDARIA VIGILADAS</w:t>
          </w:r>
        </w:p>
        <w:p w14:paraId="220FD3A1" w14:textId="0C5C6C5C" w:rsidR="0039421E" w:rsidRPr="005806F8" w:rsidRDefault="0039421E" w:rsidP="00EC3A42">
          <w:pPr>
            <w:rPr>
              <w:rFonts w:ascii="Verdana" w:hAnsi="Verdana"/>
              <w:b/>
              <w:bCs/>
              <w:i w:val="0"/>
            </w:rPr>
          </w:pP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0FED8E51" w:rsidR="00EC3A42" w:rsidRPr="005806F8" w:rsidRDefault="00356008" w:rsidP="00EC3A42">
          <w:pPr>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326ED06C" w:rsidR="00EC3A42" w:rsidRPr="005806F8" w:rsidRDefault="00356008" w:rsidP="00EC3A42">
          <w:pPr>
            <w:rPr>
              <w:rFonts w:ascii="Verdana" w:hAnsi="Verdana"/>
              <w:b/>
              <w:bCs/>
              <w:i w:val="0"/>
            </w:rPr>
          </w:pPr>
          <w:r>
            <w:rPr>
              <w:rFonts w:ascii="Verdana" w:hAnsi="Verdana"/>
              <w:b/>
              <w:bCs/>
              <w:i w:val="0"/>
              <w:sz w:val="22"/>
              <w:szCs w:val="22"/>
            </w:rPr>
            <w:t>MODIFICACIÓN DE LOS ANEXOS 1 Y 6, AHORA ANEXO 5, CONTENIDOS EN EL TÍTULO V DE LA CIRCULAR BÁSICA JURÍDICA</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3" w:name="fecassignedlong"/>
          <w:r w:rsidRPr="005806F8">
            <w:rPr>
              <w:rFonts w:ascii="Verdana" w:hAnsi="Verdana"/>
              <w:b/>
              <w:bCs/>
              <w:i w:val="0"/>
              <w:sz w:val="22"/>
              <w:szCs w:val="22"/>
            </w:rPr>
            <w:t xml:space="preserve">  </w:t>
          </w:r>
          <w:bookmarkEnd w:id="3"/>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7D9FC4"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0E0470D6" w:rsidR="00EC3A42" w:rsidRPr="005806F8" w:rsidRDefault="00356008" w:rsidP="00EC3A42">
    <w:pPr>
      <w:ind w:right="-59"/>
      <w:rPr>
        <w:rFonts w:ascii="Verdana" w:hAnsi="Verdana"/>
        <w:sz w:val="18"/>
        <w:szCs w:val="18"/>
      </w:rPr>
    </w:pPr>
    <w:r>
      <w:rPr>
        <w:rFonts w:ascii="Verdana" w:hAnsi="Verdana"/>
        <w:bCs/>
        <w:sz w:val="18"/>
        <w:szCs w:val="18"/>
        <w:lang w:val="es-ES_tradnl"/>
      </w:rPr>
      <w:t>100</w:t>
    </w:r>
    <w:r w:rsidR="00EC3A42" w:rsidRPr="005806F8">
      <w:rPr>
        <w:rFonts w:ascii="Verdana" w:hAnsi="Verdana"/>
        <w:bCs/>
        <w:sz w:val="18"/>
        <w:szCs w:val="18"/>
        <w:lang w:val="es-ES_tradnl"/>
      </w:rPr>
      <w:t xml:space="preserve"> - Circular Externa No. </w:t>
    </w:r>
    <w:bookmarkStart w:id="4" w:name="numassigned_1"/>
    <w:r w:rsidR="00EC3A42" w:rsidRPr="005806F8">
      <w:rPr>
        <w:rFonts w:ascii="Verdana" w:hAnsi="Verdana"/>
        <w:bCs/>
        <w:sz w:val="18"/>
        <w:szCs w:val="18"/>
        <w:lang w:val="es-ES_tradnl"/>
      </w:rPr>
      <w:t xml:space="preserve">  </w:t>
    </w:r>
    <w:bookmarkEnd w:id="4"/>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93417A">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93417A">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D5366"/>
    <w:rsid w:val="000E2344"/>
    <w:rsid w:val="000E4ECE"/>
    <w:rsid w:val="000F7FD7"/>
    <w:rsid w:val="00125408"/>
    <w:rsid w:val="0015320F"/>
    <w:rsid w:val="0016084B"/>
    <w:rsid w:val="001677C9"/>
    <w:rsid w:val="00186B59"/>
    <w:rsid w:val="0019632E"/>
    <w:rsid w:val="001B2992"/>
    <w:rsid w:val="001B6D00"/>
    <w:rsid w:val="001C65B7"/>
    <w:rsid w:val="001D2B49"/>
    <w:rsid w:val="00201BD1"/>
    <w:rsid w:val="00203587"/>
    <w:rsid w:val="00254439"/>
    <w:rsid w:val="0026227A"/>
    <w:rsid w:val="0026518F"/>
    <w:rsid w:val="0028184C"/>
    <w:rsid w:val="00285323"/>
    <w:rsid w:val="00291540"/>
    <w:rsid w:val="003035F4"/>
    <w:rsid w:val="00325A55"/>
    <w:rsid w:val="00356008"/>
    <w:rsid w:val="003563C1"/>
    <w:rsid w:val="00356E72"/>
    <w:rsid w:val="00390900"/>
    <w:rsid w:val="0039421E"/>
    <w:rsid w:val="003A3492"/>
    <w:rsid w:val="003B6164"/>
    <w:rsid w:val="003C3D0E"/>
    <w:rsid w:val="003D61CC"/>
    <w:rsid w:val="003E3473"/>
    <w:rsid w:val="003E6DAB"/>
    <w:rsid w:val="003F18AD"/>
    <w:rsid w:val="0041110A"/>
    <w:rsid w:val="00420671"/>
    <w:rsid w:val="00425E2C"/>
    <w:rsid w:val="00461C9B"/>
    <w:rsid w:val="004A0367"/>
    <w:rsid w:val="004D23D7"/>
    <w:rsid w:val="004D7D98"/>
    <w:rsid w:val="004E0008"/>
    <w:rsid w:val="004F507D"/>
    <w:rsid w:val="00507BF0"/>
    <w:rsid w:val="00522339"/>
    <w:rsid w:val="00546DC4"/>
    <w:rsid w:val="005806F8"/>
    <w:rsid w:val="00583ED9"/>
    <w:rsid w:val="005E5D43"/>
    <w:rsid w:val="006164C0"/>
    <w:rsid w:val="00651F28"/>
    <w:rsid w:val="0065307B"/>
    <w:rsid w:val="006646E0"/>
    <w:rsid w:val="0066566A"/>
    <w:rsid w:val="00680C7A"/>
    <w:rsid w:val="00696F6D"/>
    <w:rsid w:val="006A1B4A"/>
    <w:rsid w:val="006A4EE0"/>
    <w:rsid w:val="006B2104"/>
    <w:rsid w:val="006E5D83"/>
    <w:rsid w:val="007060DD"/>
    <w:rsid w:val="007428BE"/>
    <w:rsid w:val="007611E6"/>
    <w:rsid w:val="00773ACA"/>
    <w:rsid w:val="007922E4"/>
    <w:rsid w:val="007B0A34"/>
    <w:rsid w:val="007C178A"/>
    <w:rsid w:val="007F2A0E"/>
    <w:rsid w:val="007F6590"/>
    <w:rsid w:val="0082573D"/>
    <w:rsid w:val="008563F9"/>
    <w:rsid w:val="00857C4C"/>
    <w:rsid w:val="008731A8"/>
    <w:rsid w:val="00883F53"/>
    <w:rsid w:val="009172E1"/>
    <w:rsid w:val="00921409"/>
    <w:rsid w:val="0093417A"/>
    <w:rsid w:val="0094706E"/>
    <w:rsid w:val="0098441A"/>
    <w:rsid w:val="009B02E7"/>
    <w:rsid w:val="009C7158"/>
    <w:rsid w:val="009F476E"/>
    <w:rsid w:val="00A04A27"/>
    <w:rsid w:val="00A07251"/>
    <w:rsid w:val="00A2658D"/>
    <w:rsid w:val="00A671E6"/>
    <w:rsid w:val="00AD1E04"/>
    <w:rsid w:val="00AD5A52"/>
    <w:rsid w:val="00B16792"/>
    <w:rsid w:val="00B62C65"/>
    <w:rsid w:val="00B655B6"/>
    <w:rsid w:val="00B730EC"/>
    <w:rsid w:val="00B868AF"/>
    <w:rsid w:val="00B87851"/>
    <w:rsid w:val="00BB6319"/>
    <w:rsid w:val="00BD17A4"/>
    <w:rsid w:val="00BF3EC9"/>
    <w:rsid w:val="00BF4A5A"/>
    <w:rsid w:val="00C64ECE"/>
    <w:rsid w:val="00CA55A0"/>
    <w:rsid w:val="00CB08CF"/>
    <w:rsid w:val="00CF5F53"/>
    <w:rsid w:val="00D52E5D"/>
    <w:rsid w:val="00D723A6"/>
    <w:rsid w:val="00DC43DE"/>
    <w:rsid w:val="00DD334C"/>
    <w:rsid w:val="00E20347"/>
    <w:rsid w:val="00E7790F"/>
    <w:rsid w:val="00E87D5F"/>
    <w:rsid w:val="00EB6F62"/>
    <w:rsid w:val="00EB7284"/>
    <w:rsid w:val="00EC3A42"/>
    <w:rsid w:val="00F14086"/>
    <w:rsid w:val="00F3485A"/>
    <w:rsid w:val="00F46734"/>
    <w:rsid w:val="00F67087"/>
    <w:rsid w:val="00FA17E0"/>
    <w:rsid w:val="00FA2E8D"/>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locked/>
    <w:rsid w:val="00B868AF"/>
    <w:rPr>
      <w:b/>
      <w:bCs/>
    </w:rPr>
  </w:style>
  <w:style w:type="paragraph" w:styleId="Prrafodelista">
    <w:name w:val="List Paragraph"/>
    <w:basedOn w:val="Normal"/>
    <w:uiPriority w:val="34"/>
    <w:qFormat/>
    <w:rsid w:val="0039421E"/>
    <w:pPr>
      <w:suppressAutoHyphens w:val="0"/>
      <w:spacing w:after="160" w:line="256" w:lineRule="auto"/>
      <w:ind w:left="720"/>
      <w:contextualSpacing/>
    </w:pPr>
    <w:rPr>
      <w:rFonts w:asciiTheme="minorHAnsi" w:eastAsiaTheme="minorHAnsi" w:hAnsiTheme="minorHAnsi" w:cstheme="minorBidi"/>
      <w:i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locked/>
    <w:rsid w:val="00B868AF"/>
    <w:rPr>
      <w:b/>
      <w:bCs/>
    </w:rPr>
  </w:style>
  <w:style w:type="paragraph" w:styleId="Prrafodelista">
    <w:name w:val="List Paragraph"/>
    <w:basedOn w:val="Normal"/>
    <w:uiPriority w:val="34"/>
    <w:qFormat/>
    <w:rsid w:val="0039421E"/>
    <w:pPr>
      <w:suppressAutoHyphens w:val="0"/>
      <w:spacing w:after="160" w:line="256" w:lineRule="auto"/>
      <w:ind w:left="720"/>
      <w:contextualSpacing/>
    </w:pPr>
    <w:rPr>
      <w:rFonts w:asciiTheme="minorHAnsi" w:eastAsiaTheme="minorHAnsi" w:hAnsiTheme="minorHAnsi" w:cstheme="minorBidi"/>
      <w:i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73884">
      <w:bodyDiv w:val="1"/>
      <w:marLeft w:val="0"/>
      <w:marRight w:val="0"/>
      <w:marTop w:val="0"/>
      <w:marBottom w:val="0"/>
      <w:divBdr>
        <w:top w:val="none" w:sz="0" w:space="0" w:color="auto"/>
        <w:left w:val="none" w:sz="0" w:space="0" w:color="auto"/>
        <w:bottom w:val="none" w:sz="0" w:space="0" w:color="auto"/>
        <w:right w:val="none" w:sz="0" w:space="0" w:color="auto"/>
      </w:divBdr>
    </w:div>
    <w:div w:id="1387408315">
      <w:bodyDiv w:val="1"/>
      <w:marLeft w:val="0"/>
      <w:marRight w:val="0"/>
      <w:marTop w:val="0"/>
      <w:marBottom w:val="0"/>
      <w:divBdr>
        <w:top w:val="none" w:sz="0" w:space="0" w:color="auto"/>
        <w:left w:val="none" w:sz="0" w:space="0" w:color="auto"/>
        <w:bottom w:val="none" w:sz="0" w:space="0" w:color="auto"/>
        <w:right w:val="none" w:sz="0" w:space="0" w:color="auto"/>
      </w:divBdr>
    </w:div>
    <w:div w:id="143517543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634629269">
      <w:bodyDiv w:val="1"/>
      <w:marLeft w:val="0"/>
      <w:marRight w:val="0"/>
      <w:marTop w:val="0"/>
      <w:marBottom w:val="0"/>
      <w:divBdr>
        <w:top w:val="none" w:sz="0" w:space="0" w:color="auto"/>
        <w:left w:val="none" w:sz="0" w:space="0" w:color="auto"/>
        <w:bottom w:val="none" w:sz="0" w:space="0" w:color="auto"/>
        <w:right w:val="none" w:sz="0" w:space="0" w:color="auto"/>
      </w:divBdr>
    </w:div>
    <w:div w:id="1751075524">
      <w:bodyDiv w:val="1"/>
      <w:marLeft w:val="0"/>
      <w:marRight w:val="0"/>
      <w:marTop w:val="0"/>
      <w:marBottom w:val="0"/>
      <w:divBdr>
        <w:top w:val="none" w:sz="0" w:space="0" w:color="auto"/>
        <w:left w:val="none" w:sz="0" w:space="0" w:color="auto"/>
        <w:bottom w:val="none" w:sz="0" w:space="0" w:color="auto"/>
        <w:right w:val="none" w:sz="0" w:space="0" w:color="auto"/>
      </w:divBdr>
    </w:div>
    <w:div w:id="1822773943">
      <w:bodyDiv w:val="1"/>
      <w:marLeft w:val="0"/>
      <w:marRight w:val="0"/>
      <w:marTop w:val="0"/>
      <w:marBottom w:val="0"/>
      <w:divBdr>
        <w:top w:val="none" w:sz="0" w:space="0" w:color="auto"/>
        <w:left w:val="none" w:sz="0" w:space="0" w:color="auto"/>
        <w:bottom w:val="none" w:sz="0" w:space="0" w:color="auto"/>
        <w:right w:val="none" w:sz="0" w:space="0" w:color="auto"/>
      </w:divBdr>
    </w:div>
    <w:div w:id="1989093460">
      <w:bodyDiv w:val="1"/>
      <w:marLeft w:val="0"/>
      <w:marRight w:val="0"/>
      <w:marTop w:val="0"/>
      <w:marBottom w:val="0"/>
      <w:divBdr>
        <w:top w:val="none" w:sz="0" w:space="0" w:color="auto"/>
        <w:left w:val="none" w:sz="0" w:space="0" w:color="auto"/>
        <w:bottom w:val="none" w:sz="0" w:space="0" w:color="auto"/>
        <w:right w:val="none" w:sz="0" w:space="0" w:color="auto"/>
      </w:divBdr>
    </w:div>
    <w:div w:id="2041123604">
      <w:bodyDiv w:val="1"/>
      <w:marLeft w:val="0"/>
      <w:marRight w:val="0"/>
      <w:marTop w:val="0"/>
      <w:marBottom w:val="0"/>
      <w:divBdr>
        <w:top w:val="none" w:sz="0" w:space="0" w:color="auto"/>
        <w:left w:val="none" w:sz="0" w:space="0" w:color="auto"/>
        <w:bottom w:val="none" w:sz="0" w:space="0" w:color="auto"/>
        <w:right w:val="none" w:sz="0" w:space="0" w:color="auto"/>
      </w:divBdr>
    </w:div>
    <w:div w:id="21125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DC83-FF21-47E4-94DF-7CF7BD82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Caterine Benitez Cardenas</cp:lastModifiedBy>
  <cp:revision>15</cp:revision>
  <cp:lastPrinted>2007-11-17T22:44:00Z</cp:lastPrinted>
  <dcterms:created xsi:type="dcterms:W3CDTF">2024-07-17T21:21:00Z</dcterms:created>
  <dcterms:modified xsi:type="dcterms:W3CDTF">2024-10-10T21:17:00Z</dcterms:modified>
</cp:coreProperties>
</file>